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0E" w:rsidRDefault="00AD010E" w:rsidP="00F7262C">
      <w:pPr>
        <w:pBdr>
          <w:top w:val="single" w:sz="4" w:space="1" w:color="auto"/>
        </w:pBdr>
        <w:jc w:val="center"/>
        <w:rPr>
          <w:rFonts w:ascii="Calibri" w:hAnsi="Calibri" w:cs="Calibri"/>
          <w:b/>
          <w:color w:val="4F81BD" w:themeColor="accent1"/>
          <w:sz w:val="40"/>
          <w:szCs w:val="40"/>
        </w:rPr>
      </w:pPr>
    </w:p>
    <w:p w:rsidR="006F3484" w:rsidRDefault="006F3484" w:rsidP="00F7262C">
      <w:pPr>
        <w:pBdr>
          <w:top w:val="single" w:sz="4" w:space="1" w:color="auto"/>
        </w:pBdr>
        <w:jc w:val="center"/>
        <w:rPr>
          <w:rFonts w:ascii="Calibri" w:hAnsi="Calibri" w:cs="Calibri"/>
          <w:b/>
          <w:color w:val="4F81BD" w:themeColor="accent1"/>
          <w:sz w:val="40"/>
          <w:szCs w:val="40"/>
        </w:rPr>
      </w:pPr>
      <w:r w:rsidRPr="004E2BD8">
        <w:rPr>
          <w:rFonts w:ascii="Calibri" w:hAnsi="Calibri" w:cs="Calibri"/>
          <w:b/>
          <w:color w:val="4F81BD" w:themeColor="accent1"/>
          <w:sz w:val="40"/>
          <w:szCs w:val="40"/>
        </w:rPr>
        <w:t>Commande</w:t>
      </w:r>
      <w:r w:rsidR="004E2BD8" w:rsidRPr="004E2BD8">
        <w:rPr>
          <w:rFonts w:ascii="Calibri" w:hAnsi="Calibri" w:cs="Calibri"/>
          <w:b/>
          <w:color w:val="4F81BD" w:themeColor="accent1"/>
          <w:sz w:val="40"/>
          <w:szCs w:val="40"/>
        </w:rPr>
        <w:t xml:space="preserve"> au titre du Budget d’étude 2014</w:t>
      </w:r>
    </w:p>
    <w:p w:rsidR="00881E2F" w:rsidRPr="00881E2F" w:rsidRDefault="00881E2F" w:rsidP="00F7262C">
      <w:pPr>
        <w:pBdr>
          <w:top w:val="single" w:sz="4" w:space="1" w:color="auto"/>
        </w:pBdr>
        <w:jc w:val="center"/>
        <w:rPr>
          <w:rFonts w:ascii="Calibri" w:hAnsi="Calibri" w:cs="Calibri"/>
          <w:b/>
          <w:color w:val="4F81BD" w:themeColor="accent1"/>
          <w:sz w:val="36"/>
          <w:szCs w:val="36"/>
        </w:rPr>
      </w:pPr>
      <w:r w:rsidRPr="00881E2F">
        <w:rPr>
          <w:rFonts w:ascii="Calibri" w:hAnsi="Calibri" w:cs="Calibri"/>
          <w:b/>
          <w:color w:val="4F81BD" w:themeColor="accent1"/>
          <w:sz w:val="36"/>
          <w:szCs w:val="36"/>
        </w:rPr>
        <w:t>Interventions des organismes Hlm en tissu urbain existant</w:t>
      </w:r>
    </w:p>
    <w:p w:rsidR="006F3484" w:rsidRDefault="006F3484" w:rsidP="00B72E22">
      <w:pPr>
        <w:rPr>
          <w:rFonts w:ascii="Calibri" w:hAnsi="Calibri" w:cs="Calibri"/>
        </w:rPr>
      </w:pPr>
    </w:p>
    <w:p w:rsidR="00F7262C" w:rsidRDefault="00F7262C" w:rsidP="00B72E22">
      <w:pPr>
        <w:rPr>
          <w:rFonts w:ascii="Calibri" w:hAnsi="Calibri" w:cs="Calibri"/>
          <w:sz w:val="24"/>
          <w:szCs w:val="24"/>
        </w:rPr>
      </w:pPr>
    </w:p>
    <w:p w:rsidR="00E920F6" w:rsidRDefault="00F7262C" w:rsidP="00B72E22">
      <w:pPr>
        <w:rPr>
          <w:rFonts w:ascii="Calibri" w:hAnsi="Calibri" w:cs="Calibri"/>
          <w:sz w:val="24"/>
          <w:szCs w:val="24"/>
        </w:rPr>
      </w:pPr>
      <w:r>
        <w:rPr>
          <w:rFonts w:ascii="Calibri" w:hAnsi="Calibri" w:cs="Calibri"/>
          <w:sz w:val="24"/>
          <w:szCs w:val="24"/>
        </w:rPr>
        <w:t>Entre :</w:t>
      </w:r>
      <w:bookmarkStart w:id="0" w:name="_GoBack"/>
      <w:bookmarkEnd w:id="0"/>
    </w:p>
    <w:p w:rsidR="00F7262C" w:rsidRDefault="004E2BD8" w:rsidP="00B72E22">
      <w:pPr>
        <w:rPr>
          <w:rFonts w:ascii="Calibri" w:hAnsi="Calibri" w:cs="Calibri"/>
          <w:sz w:val="24"/>
          <w:szCs w:val="24"/>
        </w:rPr>
      </w:pPr>
      <w:r>
        <w:rPr>
          <w:rFonts w:ascii="Calibri" w:hAnsi="Calibri" w:cs="Calibri"/>
          <w:sz w:val="24"/>
          <w:szCs w:val="24"/>
        </w:rPr>
        <w:t>L’</w:t>
      </w:r>
      <w:r w:rsidR="00F7262C">
        <w:rPr>
          <w:rFonts w:ascii="Calibri" w:hAnsi="Calibri" w:cs="Calibri"/>
          <w:sz w:val="24"/>
          <w:szCs w:val="24"/>
        </w:rPr>
        <w:t xml:space="preserve">Union sociale pour l’habitat, 14 rue Lord Byron </w:t>
      </w:r>
      <w:r>
        <w:rPr>
          <w:rFonts w:ascii="Calibri" w:hAnsi="Calibri" w:cs="Calibri"/>
          <w:sz w:val="24"/>
          <w:szCs w:val="24"/>
        </w:rPr>
        <w:t xml:space="preserve">- </w:t>
      </w:r>
      <w:r w:rsidR="00F7262C">
        <w:rPr>
          <w:rFonts w:ascii="Calibri" w:hAnsi="Calibri" w:cs="Calibri"/>
          <w:sz w:val="24"/>
          <w:szCs w:val="24"/>
        </w:rPr>
        <w:t>75</w:t>
      </w:r>
      <w:r>
        <w:rPr>
          <w:rFonts w:ascii="Calibri" w:hAnsi="Calibri" w:cs="Calibri"/>
          <w:sz w:val="24"/>
          <w:szCs w:val="24"/>
        </w:rPr>
        <w:t>384</w:t>
      </w:r>
      <w:r w:rsidR="00F7262C">
        <w:rPr>
          <w:rFonts w:ascii="Calibri" w:hAnsi="Calibri" w:cs="Calibri"/>
          <w:sz w:val="24"/>
          <w:szCs w:val="24"/>
        </w:rPr>
        <w:t xml:space="preserve"> Paris</w:t>
      </w:r>
      <w:r>
        <w:rPr>
          <w:rFonts w:ascii="Calibri" w:hAnsi="Calibri" w:cs="Calibri"/>
          <w:sz w:val="24"/>
          <w:szCs w:val="24"/>
        </w:rPr>
        <w:t xml:space="preserve"> cedex 08</w:t>
      </w:r>
    </w:p>
    <w:p w:rsidR="00F7262C" w:rsidRDefault="00F7262C" w:rsidP="00B72E22">
      <w:pPr>
        <w:rPr>
          <w:rFonts w:ascii="Calibri" w:hAnsi="Calibri" w:cs="Calibri"/>
          <w:sz w:val="24"/>
          <w:szCs w:val="24"/>
        </w:rPr>
      </w:pPr>
      <w:proofErr w:type="gramStart"/>
      <w:r>
        <w:rPr>
          <w:rFonts w:ascii="Calibri" w:hAnsi="Calibri" w:cs="Calibri"/>
          <w:sz w:val="24"/>
          <w:szCs w:val="24"/>
        </w:rPr>
        <w:t>et</w:t>
      </w:r>
      <w:proofErr w:type="gramEnd"/>
      <w:r>
        <w:rPr>
          <w:rFonts w:ascii="Calibri" w:hAnsi="Calibri" w:cs="Calibri"/>
          <w:sz w:val="24"/>
          <w:szCs w:val="24"/>
        </w:rPr>
        <w:t xml:space="preserve"> : </w:t>
      </w:r>
      <w:r w:rsidR="007D1456">
        <w:rPr>
          <w:rFonts w:ascii="Calibri" w:hAnsi="Calibri" w:cs="Calibri"/>
          <w:sz w:val="24"/>
          <w:szCs w:val="24"/>
        </w:rPr>
        <w:t xml:space="preserve"> </w:t>
      </w:r>
    </w:p>
    <w:p w:rsidR="00AD010E" w:rsidRDefault="00AD010E" w:rsidP="00B72E22">
      <w:pPr>
        <w:rPr>
          <w:rFonts w:ascii="Calibri" w:hAnsi="Calibri" w:cs="Calibri"/>
          <w:i/>
          <w:color w:val="FF0000"/>
          <w:sz w:val="24"/>
          <w:szCs w:val="24"/>
        </w:rPr>
      </w:pPr>
    </w:p>
    <w:p w:rsidR="00AD010E" w:rsidRPr="00EB0148" w:rsidRDefault="00AD010E" w:rsidP="00AD010E">
      <w:pPr>
        <w:rPr>
          <w:rFonts w:ascii="Calibri" w:hAnsi="Calibri" w:cs="Calibri"/>
          <w:sz w:val="24"/>
          <w:szCs w:val="24"/>
        </w:rPr>
      </w:pPr>
      <w:r w:rsidRPr="00EB0148">
        <w:rPr>
          <w:rFonts w:ascii="Calibri" w:hAnsi="Calibri" w:cs="Calibri"/>
          <w:sz w:val="24"/>
          <w:szCs w:val="24"/>
        </w:rPr>
        <w:t>Adéquation</w:t>
      </w:r>
      <w:r w:rsidR="006F2F07" w:rsidRPr="00EB0148">
        <w:rPr>
          <w:rFonts w:ascii="Calibri" w:hAnsi="Calibri" w:cs="Calibri"/>
          <w:sz w:val="24"/>
          <w:szCs w:val="24"/>
        </w:rPr>
        <w:t xml:space="preserve"> </w:t>
      </w:r>
      <w:r w:rsidR="00E81AAA" w:rsidRPr="00EB0148">
        <w:rPr>
          <w:rFonts w:ascii="Calibri" w:hAnsi="Calibri" w:cs="Calibri"/>
          <w:sz w:val="24"/>
          <w:szCs w:val="24"/>
        </w:rPr>
        <w:t xml:space="preserve">(mandataire du Groupement Adéquation / Babylone Avenue AA Group / Cabinet </w:t>
      </w:r>
      <w:proofErr w:type="spellStart"/>
      <w:r w:rsidR="00E81AAA" w:rsidRPr="00EB0148">
        <w:rPr>
          <w:rFonts w:ascii="Calibri" w:hAnsi="Calibri" w:cs="Calibri"/>
          <w:sz w:val="24"/>
          <w:szCs w:val="24"/>
        </w:rPr>
        <w:t>ASEA</w:t>
      </w:r>
      <w:proofErr w:type="spellEnd"/>
      <w:r w:rsidR="00E81AAA" w:rsidRPr="00EB0148">
        <w:rPr>
          <w:rFonts w:ascii="Calibri" w:hAnsi="Calibri" w:cs="Calibri"/>
          <w:sz w:val="24"/>
          <w:szCs w:val="24"/>
        </w:rPr>
        <w:t>)</w:t>
      </w:r>
    </w:p>
    <w:p w:rsidR="009322FE" w:rsidRPr="00EB0148" w:rsidRDefault="00AD010E" w:rsidP="00AD010E">
      <w:pPr>
        <w:rPr>
          <w:rFonts w:ascii="Calibri" w:hAnsi="Calibri" w:cs="Calibri"/>
          <w:sz w:val="24"/>
          <w:szCs w:val="24"/>
        </w:rPr>
      </w:pPr>
      <w:r w:rsidRPr="00EB0148">
        <w:rPr>
          <w:rFonts w:ascii="Calibri" w:hAnsi="Calibri" w:cs="Calibri"/>
          <w:sz w:val="24"/>
          <w:szCs w:val="24"/>
        </w:rPr>
        <w:t>« Espace Eiffel » 18-20, rue Tronchet – 69</w:t>
      </w:r>
      <w:r w:rsidR="009322FE" w:rsidRPr="00EB0148">
        <w:rPr>
          <w:rFonts w:ascii="Calibri" w:hAnsi="Calibri" w:cs="Calibri"/>
          <w:sz w:val="24"/>
          <w:szCs w:val="24"/>
        </w:rPr>
        <w:t>006 LYON</w:t>
      </w:r>
    </w:p>
    <w:p w:rsidR="00AD010E" w:rsidRPr="003475DE" w:rsidRDefault="00AD010E" w:rsidP="00AD010E">
      <w:pPr>
        <w:rPr>
          <w:rFonts w:ascii="Calibri" w:hAnsi="Calibri" w:cs="Calibri"/>
          <w:sz w:val="24"/>
          <w:szCs w:val="24"/>
        </w:rPr>
      </w:pPr>
      <w:r w:rsidRPr="00EB0148">
        <w:rPr>
          <w:rFonts w:ascii="Calibri" w:hAnsi="Calibri" w:cs="Calibri"/>
          <w:sz w:val="24"/>
          <w:szCs w:val="24"/>
        </w:rPr>
        <w:t xml:space="preserve">Tél. 04 72 00 87 87. </w:t>
      </w:r>
      <w:r w:rsidRPr="003475DE">
        <w:rPr>
          <w:rFonts w:ascii="Calibri" w:hAnsi="Calibri" w:cs="Calibri"/>
          <w:sz w:val="24"/>
          <w:szCs w:val="24"/>
        </w:rPr>
        <w:t>Fax : 04 78 27 70 72.</w:t>
      </w:r>
    </w:p>
    <w:p w:rsidR="00AD010E" w:rsidRPr="003475DE" w:rsidRDefault="00AD010E" w:rsidP="00AD010E">
      <w:pPr>
        <w:rPr>
          <w:rFonts w:ascii="Calibri" w:hAnsi="Calibri" w:cs="Calibri"/>
          <w:sz w:val="24"/>
          <w:szCs w:val="24"/>
        </w:rPr>
      </w:pPr>
      <w:r w:rsidRPr="003475DE">
        <w:rPr>
          <w:rFonts w:ascii="Calibri" w:hAnsi="Calibri" w:cs="Calibri"/>
          <w:sz w:val="24"/>
          <w:szCs w:val="24"/>
        </w:rPr>
        <w:t>SIRET : 412 474 231 00054</w:t>
      </w:r>
    </w:p>
    <w:p w:rsidR="009322FE" w:rsidRPr="003475DE" w:rsidRDefault="009322FE" w:rsidP="00AD010E">
      <w:pPr>
        <w:rPr>
          <w:rFonts w:ascii="Calibri" w:hAnsi="Calibri" w:cs="Calibri"/>
          <w:i/>
          <w:color w:val="0070C0"/>
          <w:sz w:val="24"/>
          <w:szCs w:val="24"/>
        </w:rPr>
      </w:pPr>
    </w:p>
    <w:p w:rsidR="0096504A" w:rsidRPr="00346DA2" w:rsidRDefault="0096504A" w:rsidP="00B72E22">
      <w:pPr>
        <w:pBdr>
          <w:bottom w:val="single" w:sz="6" w:space="1" w:color="auto"/>
        </w:pBdr>
        <w:ind w:left="360" w:hanging="360"/>
        <w:rPr>
          <w:rFonts w:ascii="Calibri" w:hAnsi="Calibri" w:cs="Calibri"/>
          <w:b/>
          <w:smallCaps/>
          <w:color w:val="1F497D" w:themeColor="text2"/>
          <w:sz w:val="24"/>
          <w:szCs w:val="24"/>
        </w:rPr>
      </w:pPr>
      <w:r w:rsidRPr="00346DA2">
        <w:rPr>
          <w:rFonts w:ascii="Calibri" w:hAnsi="Calibri" w:cs="Calibri"/>
          <w:b/>
          <w:smallCaps/>
          <w:color w:val="1F497D" w:themeColor="text2"/>
          <w:sz w:val="24"/>
          <w:szCs w:val="24"/>
        </w:rPr>
        <w:t>1.</w:t>
      </w:r>
      <w:r w:rsidRPr="00346DA2">
        <w:rPr>
          <w:rFonts w:ascii="Calibri" w:hAnsi="Calibri" w:cs="Calibri"/>
          <w:b/>
          <w:smallCaps/>
          <w:color w:val="1F497D" w:themeColor="text2"/>
          <w:sz w:val="24"/>
          <w:szCs w:val="24"/>
        </w:rPr>
        <w:tab/>
      </w:r>
      <w:r w:rsidR="00D97653" w:rsidRPr="00346DA2">
        <w:rPr>
          <w:rFonts w:ascii="Calibri" w:hAnsi="Calibri" w:cs="Calibri"/>
          <w:b/>
          <w:smallCaps/>
          <w:color w:val="1F497D" w:themeColor="text2"/>
          <w:sz w:val="24"/>
          <w:szCs w:val="24"/>
        </w:rPr>
        <w:t>Objet</w:t>
      </w:r>
      <w:r w:rsidR="00B72E22" w:rsidRPr="00346DA2">
        <w:rPr>
          <w:rFonts w:ascii="Calibri" w:hAnsi="Calibri" w:cs="Calibri"/>
          <w:b/>
          <w:smallCaps/>
          <w:color w:val="1F497D" w:themeColor="text2"/>
          <w:sz w:val="24"/>
          <w:szCs w:val="24"/>
        </w:rPr>
        <w:t xml:space="preserve"> de la commande </w:t>
      </w:r>
    </w:p>
    <w:p w:rsidR="0096504A" w:rsidRDefault="0096504A" w:rsidP="00B72E22">
      <w:pPr>
        <w:ind w:left="709" w:hanging="709"/>
        <w:rPr>
          <w:rFonts w:ascii="Calibri" w:hAnsi="Calibri" w:cs="Calibri"/>
          <w:sz w:val="22"/>
          <w:szCs w:val="22"/>
        </w:rPr>
      </w:pPr>
    </w:p>
    <w:p w:rsidR="003475DE" w:rsidRDefault="003475DE" w:rsidP="00B72E22">
      <w:pPr>
        <w:ind w:left="709" w:hanging="709"/>
        <w:rPr>
          <w:rFonts w:ascii="Calibri" w:hAnsi="Calibri" w:cs="Calibri"/>
          <w:sz w:val="22"/>
          <w:szCs w:val="22"/>
        </w:rPr>
      </w:pPr>
      <w:r>
        <w:rPr>
          <w:rFonts w:ascii="Calibri" w:hAnsi="Calibri" w:cs="Calibri"/>
          <w:sz w:val="22"/>
          <w:szCs w:val="22"/>
        </w:rPr>
        <w:t xml:space="preserve">La présente commande se réfère à la proposition </w:t>
      </w:r>
      <w:proofErr w:type="spellStart"/>
      <w:proofErr w:type="gramStart"/>
      <w:r>
        <w:rPr>
          <w:rFonts w:ascii="Calibri" w:hAnsi="Calibri" w:cs="Calibri"/>
          <w:sz w:val="22"/>
          <w:szCs w:val="22"/>
        </w:rPr>
        <w:t>transmiser</w:t>
      </w:r>
      <w:proofErr w:type="spellEnd"/>
      <w:proofErr w:type="gramEnd"/>
      <w:r>
        <w:rPr>
          <w:rFonts w:ascii="Calibri" w:hAnsi="Calibri" w:cs="Calibri"/>
          <w:sz w:val="22"/>
          <w:szCs w:val="22"/>
        </w:rPr>
        <w:t xml:space="preserve"> par le Groupement ci-dessus, le 7/12/2014</w:t>
      </w:r>
    </w:p>
    <w:p w:rsidR="003475DE" w:rsidRDefault="003475DE" w:rsidP="00A05778">
      <w:pPr>
        <w:autoSpaceDE w:val="0"/>
        <w:autoSpaceDN w:val="0"/>
        <w:adjustRightInd w:val="0"/>
        <w:spacing w:line="240" w:lineRule="exact"/>
        <w:jc w:val="both"/>
        <w:rPr>
          <w:rFonts w:cs="Arial"/>
        </w:rPr>
      </w:pPr>
    </w:p>
    <w:p w:rsidR="00A05778" w:rsidRPr="00A05778" w:rsidRDefault="00A05778" w:rsidP="00A05778">
      <w:pPr>
        <w:autoSpaceDE w:val="0"/>
        <w:autoSpaceDN w:val="0"/>
        <w:adjustRightInd w:val="0"/>
        <w:spacing w:line="240" w:lineRule="exact"/>
        <w:jc w:val="both"/>
        <w:rPr>
          <w:rFonts w:cs="Arial"/>
        </w:rPr>
      </w:pPr>
      <w:r w:rsidRPr="00A05778">
        <w:rPr>
          <w:rFonts w:cs="Arial"/>
        </w:rPr>
        <w:t xml:space="preserve">La loi Grenelle 2, puis la loi </w:t>
      </w:r>
      <w:proofErr w:type="spellStart"/>
      <w:r w:rsidRPr="00A05778">
        <w:rPr>
          <w:rFonts w:cs="Arial"/>
        </w:rPr>
        <w:t>ALUR</w:t>
      </w:r>
      <w:proofErr w:type="spellEnd"/>
      <w:r w:rsidRPr="00A05778">
        <w:rPr>
          <w:rFonts w:cs="Arial"/>
        </w:rPr>
        <w:t xml:space="preserve">  posent le principe d’un développement urbain limitant la consommation des sols et l’étalement urbain, et donc celui de « refaire la ville sur elle-même » en privilégiant toutes formes d’intervention dans le tissu bâti existant, ainsi que la densité des constructions, notamment à proximité des nœuds de transport en commun.</w:t>
      </w:r>
    </w:p>
    <w:p w:rsidR="00A05778" w:rsidRPr="00A05778" w:rsidRDefault="00A05778" w:rsidP="00A05778">
      <w:pPr>
        <w:autoSpaceDE w:val="0"/>
        <w:autoSpaceDN w:val="0"/>
        <w:adjustRightInd w:val="0"/>
        <w:spacing w:line="240" w:lineRule="exact"/>
        <w:jc w:val="both"/>
        <w:rPr>
          <w:rFonts w:cs="Arial"/>
        </w:rPr>
      </w:pPr>
    </w:p>
    <w:p w:rsidR="00A05778" w:rsidRPr="00A05778" w:rsidRDefault="00A05778" w:rsidP="00A05778">
      <w:pPr>
        <w:autoSpaceDE w:val="0"/>
        <w:autoSpaceDN w:val="0"/>
        <w:adjustRightInd w:val="0"/>
        <w:spacing w:line="240" w:lineRule="exact"/>
        <w:jc w:val="both"/>
        <w:rPr>
          <w:rFonts w:cs="Arial"/>
        </w:rPr>
      </w:pPr>
      <w:r w:rsidRPr="00A05778">
        <w:rPr>
          <w:rFonts w:cs="Arial"/>
        </w:rPr>
        <w:t>Par ailleurs, le décret et l’ordonnance du 3 Octobre 2013 relatifs au « développement de la construction par dérogation aux règles d’urbanisme et de construction » ouvrent des possibilités – limitées - de dérogation au règlement du PLU (gabarit et/ou stationnement) : pour densifier les « dents creuses » d’un tissu urbain existant, faciliter les opérations de surélévation, ainsi que pour autoriser la transformation à usage principal d'habitation d'un immeuble existant d’une autre destination initiale.</w:t>
      </w:r>
    </w:p>
    <w:p w:rsidR="00A05778" w:rsidRPr="00A05778" w:rsidRDefault="00A05778" w:rsidP="00A05778">
      <w:pPr>
        <w:autoSpaceDE w:val="0"/>
        <w:autoSpaceDN w:val="0"/>
        <w:adjustRightInd w:val="0"/>
        <w:spacing w:line="240" w:lineRule="exact"/>
        <w:jc w:val="both"/>
        <w:rPr>
          <w:rFonts w:cs="Arial"/>
        </w:rPr>
      </w:pPr>
    </w:p>
    <w:p w:rsidR="00A05778" w:rsidRDefault="00A05778" w:rsidP="00A05778">
      <w:pPr>
        <w:autoSpaceDE w:val="0"/>
        <w:autoSpaceDN w:val="0"/>
        <w:adjustRightInd w:val="0"/>
        <w:spacing w:line="240" w:lineRule="exact"/>
        <w:jc w:val="both"/>
        <w:rPr>
          <w:rFonts w:cs="Arial"/>
        </w:rPr>
      </w:pPr>
      <w:r w:rsidRPr="00A05778">
        <w:rPr>
          <w:rFonts w:cs="Arial"/>
        </w:rPr>
        <w:t>Enfin le projet de loi  relatif à « la simplification de la vie des entreprises »</w:t>
      </w:r>
      <w:r>
        <w:rPr>
          <w:rFonts w:cs="Arial"/>
        </w:rPr>
        <w:t xml:space="preserve"> prévoit dans son article 7 des mesures d’urbanisme, dont la possibilité de dérogation au règlement du PLU quant aux règles de retrait par rapport aux limites séparatives, une possible limitation du nombre de places de stationnement privatif « pour certaines catégories de logement, en fonction de leur accessibilité par les transports publics réguliers », et enfin des dispositions qui devraient favoriser les projets en entrée de ville ou dans des zones à dominantes commerciales.</w:t>
      </w:r>
    </w:p>
    <w:p w:rsidR="00A05778" w:rsidRDefault="00A05778" w:rsidP="00A05778">
      <w:pPr>
        <w:autoSpaceDE w:val="0"/>
        <w:autoSpaceDN w:val="0"/>
        <w:adjustRightInd w:val="0"/>
        <w:spacing w:line="240" w:lineRule="exact"/>
        <w:jc w:val="both"/>
        <w:rPr>
          <w:rFonts w:cs="Arial"/>
        </w:rPr>
      </w:pPr>
    </w:p>
    <w:p w:rsidR="00A05778" w:rsidRPr="00A05778" w:rsidRDefault="00A05778" w:rsidP="00A05778">
      <w:pPr>
        <w:autoSpaceDE w:val="0"/>
        <w:autoSpaceDN w:val="0"/>
        <w:adjustRightInd w:val="0"/>
        <w:spacing w:line="240" w:lineRule="exact"/>
        <w:jc w:val="both"/>
        <w:rPr>
          <w:rFonts w:cs="Arial"/>
        </w:rPr>
      </w:pPr>
      <w:r w:rsidRPr="00A05778">
        <w:rPr>
          <w:rFonts w:cs="Arial"/>
        </w:rPr>
        <w:t>Ce contexte s’impose à la production d</w:t>
      </w:r>
      <w:r w:rsidR="003475DE">
        <w:rPr>
          <w:rFonts w:cs="Arial"/>
        </w:rPr>
        <w:t>e logements sociaux, qui devrait être</w:t>
      </w:r>
      <w:r w:rsidRPr="00A05778">
        <w:rPr>
          <w:rFonts w:cs="Arial"/>
        </w:rPr>
        <w:t xml:space="preserve"> de plus en plus orientée vers des interventions dans le tissu ancien existant, avec une large panoplie d’outils – classiques ou plus récents – et une « obligation de « créativité » toujours plus exigeante. La maîtrise des coûts de production – y compris dans sa composante de charge foncière –reste bien entendu une nécessité commune à tous types d’opération.</w:t>
      </w:r>
    </w:p>
    <w:p w:rsidR="00A05778" w:rsidRPr="00A05778" w:rsidRDefault="00A05778" w:rsidP="00A05778">
      <w:pPr>
        <w:autoSpaceDE w:val="0"/>
        <w:autoSpaceDN w:val="0"/>
        <w:adjustRightInd w:val="0"/>
        <w:spacing w:line="240" w:lineRule="exact"/>
        <w:jc w:val="both"/>
        <w:rPr>
          <w:rFonts w:cs="Arial"/>
        </w:rPr>
      </w:pPr>
    </w:p>
    <w:p w:rsidR="00A05778" w:rsidRDefault="00A05778" w:rsidP="00A05778">
      <w:pPr>
        <w:autoSpaceDE w:val="0"/>
        <w:autoSpaceDN w:val="0"/>
        <w:adjustRightInd w:val="0"/>
        <w:spacing w:line="240" w:lineRule="exact"/>
        <w:jc w:val="both"/>
        <w:rPr>
          <w:rFonts w:cs="Arial"/>
          <w:b/>
        </w:rPr>
      </w:pPr>
      <w:r w:rsidRPr="00A05778">
        <w:rPr>
          <w:rFonts w:cs="Arial"/>
          <w:b/>
        </w:rPr>
        <w:t>L’objet de cette étude est de « donner à voir » à l’ensemble des organismes Hlm– mais aussi aux collectivités – la façon dont les maîtres d’ouvrage sociaux ont (ré) investi la production en tissu urbain existant, sur la base d’une « typologie » d’opérations à élaborer et à illustrer par des exemples diversifiés, reproductibles et finement analysés.</w:t>
      </w:r>
    </w:p>
    <w:p w:rsidR="00EB0148" w:rsidRPr="00A05778" w:rsidRDefault="00EB0148" w:rsidP="00A05778">
      <w:pPr>
        <w:autoSpaceDE w:val="0"/>
        <w:autoSpaceDN w:val="0"/>
        <w:adjustRightInd w:val="0"/>
        <w:spacing w:line="240" w:lineRule="exact"/>
        <w:jc w:val="both"/>
        <w:rPr>
          <w:rFonts w:cs="Arial"/>
          <w:b/>
        </w:rPr>
      </w:pPr>
    </w:p>
    <w:p w:rsidR="0096504A" w:rsidRPr="00346DA2" w:rsidRDefault="0096504A" w:rsidP="00B72E22">
      <w:pPr>
        <w:pBdr>
          <w:bottom w:val="single" w:sz="6" w:space="1" w:color="auto"/>
        </w:pBdr>
        <w:ind w:left="357" w:hanging="357"/>
        <w:rPr>
          <w:rFonts w:ascii="Calibri" w:hAnsi="Calibri" w:cs="Calibri"/>
          <w:b/>
          <w:smallCaps/>
          <w:color w:val="1F497D" w:themeColor="text2"/>
          <w:sz w:val="24"/>
          <w:szCs w:val="24"/>
        </w:rPr>
      </w:pPr>
      <w:r w:rsidRPr="00346DA2">
        <w:rPr>
          <w:rFonts w:ascii="Calibri" w:hAnsi="Calibri" w:cs="Calibri"/>
          <w:b/>
          <w:smallCaps/>
          <w:color w:val="1F497D" w:themeColor="text2"/>
          <w:sz w:val="24"/>
          <w:szCs w:val="24"/>
        </w:rPr>
        <w:t>2.</w:t>
      </w:r>
      <w:r w:rsidRPr="00346DA2">
        <w:rPr>
          <w:rFonts w:ascii="Calibri" w:hAnsi="Calibri" w:cs="Calibri"/>
          <w:b/>
          <w:smallCaps/>
          <w:color w:val="1F497D" w:themeColor="text2"/>
          <w:sz w:val="24"/>
          <w:szCs w:val="24"/>
        </w:rPr>
        <w:tab/>
      </w:r>
      <w:r w:rsidR="00B72E22" w:rsidRPr="00346DA2">
        <w:rPr>
          <w:rFonts w:ascii="Calibri" w:hAnsi="Calibri" w:cs="Calibri"/>
          <w:b/>
          <w:smallCaps/>
          <w:color w:val="1F497D" w:themeColor="text2"/>
          <w:sz w:val="24"/>
          <w:szCs w:val="24"/>
        </w:rPr>
        <w:t>Résultats attendus</w:t>
      </w:r>
    </w:p>
    <w:p w:rsidR="0096504A" w:rsidRDefault="0096504A" w:rsidP="00B72E22">
      <w:pPr>
        <w:ind w:left="357" w:hanging="357"/>
        <w:rPr>
          <w:rFonts w:ascii="Calibri" w:hAnsi="Calibri" w:cs="Calibri"/>
          <w:sz w:val="22"/>
          <w:szCs w:val="22"/>
        </w:rPr>
      </w:pPr>
    </w:p>
    <w:p w:rsidR="00A05778" w:rsidRPr="009D0168" w:rsidRDefault="00A05778" w:rsidP="00A05778">
      <w:pPr>
        <w:tabs>
          <w:tab w:val="left" w:pos="284"/>
          <w:tab w:val="left" w:pos="567"/>
        </w:tabs>
        <w:spacing w:line="260" w:lineRule="exact"/>
        <w:jc w:val="both"/>
        <w:rPr>
          <w:rFonts w:asciiTheme="minorHAnsi" w:hAnsiTheme="minorHAnsi" w:cstheme="minorHAnsi"/>
          <w:sz w:val="22"/>
          <w:szCs w:val="22"/>
        </w:rPr>
      </w:pPr>
      <w:r>
        <w:rPr>
          <w:rFonts w:asciiTheme="minorHAnsi" w:hAnsiTheme="minorHAnsi" w:cstheme="minorHAnsi"/>
          <w:sz w:val="22"/>
          <w:szCs w:val="22"/>
        </w:rPr>
        <w:t xml:space="preserve">Outre </w:t>
      </w:r>
      <w:r w:rsidRPr="00E0063D">
        <w:rPr>
          <w:rFonts w:asciiTheme="minorHAnsi" w:hAnsiTheme="minorHAnsi" w:cstheme="minorHAnsi"/>
          <w:b/>
          <w:sz w:val="22"/>
          <w:szCs w:val="22"/>
        </w:rPr>
        <w:t>un cadrage, succinct et pédagogique,  des mesures issues des textes récents incitant à la densification</w:t>
      </w:r>
      <w:r w:rsidR="003475DE">
        <w:rPr>
          <w:rFonts w:asciiTheme="minorHAnsi" w:hAnsiTheme="minorHAnsi" w:cstheme="minorHAnsi"/>
          <w:b/>
          <w:sz w:val="22"/>
          <w:szCs w:val="22"/>
        </w:rPr>
        <w:t xml:space="preserve"> et aux interventions en tissu urbaine existant</w:t>
      </w:r>
      <w:r>
        <w:rPr>
          <w:rFonts w:asciiTheme="minorHAnsi" w:hAnsiTheme="minorHAnsi" w:cstheme="minorHAnsi"/>
          <w:b/>
          <w:sz w:val="22"/>
          <w:szCs w:val="22"/>
        </w:rPr>
        <w:t>,</w:t>
      </w:r>
      <w:r>
        <w:rPr>
          <w:rFonts w:asciiTheme="minorHAnsi" w:hAnsiTheme="minorHAnsi" w:cstheme="minorHAnsi"/>
          <w:sz w:val="22"/>
          <w:szCs w:val="22"/>
        </w:rPr>
        <w:t xml:space="preserve">  il est demandé au titulaire de la mission de </w:t>
      </w:r>
      <w:r w:rsidRPr="00E0063D">
        <w:rPr>
          <w:rFonts w:asciiTheme="minorHAnsi" w:hAnsiTheme="minorHAnsi" w:cstheme="minorHAnsi"/>
          <w:b/>
          <w:sz w:val="22"/>
          <w:szCs w:val="22"/>
        </w:rPr>
        <w:t>construire avec les services de l’USH</w:t>
      </w:r>
      <w:r>
        <w:rPr>
          <w:rFonts w:asciiTheme="minorHAnsi" w:hAnsiTheme="minorHAnsi" w:cstheme="minorHAnsi"/>
          <w:b/>
          <w:sz w:val="22"/>
          <w:szCs w:val="22"/>
        </w:rPr>
        <w:t xml:space="preserve"> et de la CDC une « typologie</w:t>
      </w:r>
      <w:r w:rsidRPr="00E0063D">
        <w:rPr>
          <w:rFonts w:asciiTheme="minorHAnsi" w:hAnsiTheme="minorHAnsi" w:cstheme="minorHAnsi"/>
          <w:b/>
          <w:sz w:val="22"/>
          <w:szCs w:val="22"/>
        </w:rPr>
        <w:t xml:space="preserve"> » </w:t>
      </w:r>
      <w:r>
        <w:rPr>
          <w:rFonts w:asciiTheme="minorHAnsi" w:hAnsiTheme="minorHAnsi" w:cstheme="minorHAnsi"/>
          <w:b/>
          <w:sz w:val="22"/>
          <w:szCs w:val="22"/>
        </w:rPr>
        <w:t xml:space="preserve">des </w:t>
      </w:r>
      <w:r w:rsidRPr="00E0063D">
        <w:rPr>
          <w:rFonts w:asciiTheme="minorHAnsi" w:hAnsiTheme="minorHAnsi" w:cstheme="minorHAnsi"/>
          <w:b/>
          <w:sz w:val="22"/>
          <w:szCs w:val="22"/>
        </w:rPr>
        <w:t>opération</w:t>
      </w:r>
      <w:r>
        <w:rPr>
          <w:rFonts w:asciiTheme="minorHAnsi" w:hAnsiTheme="minorHAnsi" w:cstheme="minorHAnsi"/>
          <w:b/>
          <w:sz w:val="22"/>
          <w:szCs w:val="22"/>
        </w:rPr>
        <w:t>s</w:t>
      </w:r>
      <w:r w:rsidRPr="00E0063D">
        <w:rPr>
          <w:rFonts w:asciiTheme="minorHAnsi" w:hAnsiTheme="minorHAnsi" w:cstheme="minorHAnsi"/>
          <w:b/>
          <w:sz w:val="22"/>
          <w:szCs w:val="22"/>
        </w:rPr>
        <w:t xml:space="preserve"> pouvant e</w:t>
      </w:r>
      <w:r>
        <w:rPr>
          <w:rFonts w:asciiTheme="minorHAnsi" w:hAnsiTheme="minorHAnsi" w:cstheme="minorHAnsi"/>
          <w:b/>
          <w:sz w:val="22"/>
          <w:szCs w:val="22"/>
        </w:rPr>
        <w:t xml:space="preserve">ntrer dans le champ de </w:t>
      </w:r>
      <w:r w:rsidRPr="009D0168">
        <w:rPr>
          <w:rFonts w:asciiTheme="minorHAnsi" w:hAnsiTheme="minorHAnsi" w:cstheme="minorHAnsi"/>
          <w:sz w:val="22"/>
          <w:szCs w:val="22"/>
        </w:rPr>
        <w:t xml:space="preserve">l’étude et </w:t>
      </w:r>
      <w:r w:rsidR="00EB0148">
        <w:rPr>
          <w:rFonts w:asciiTheme="minorHAnsi" w:hAnsiTheme="minorHAnsi" w:cstheme="minorHAnsi"/>
          <w:sz w:val="22"/>
          <w:szCs w:val="22"/>
        </w:rPr>
        <w:t>d’</w:t>
      </w:r>
      <w:r>
        <w:rPr>
          <w:rFonts w:asciiTheme="minorHAnsi" w:hAnsiTheme="minorHAnsi" w:cstheme="minorHAnsi"/>
          <w:sz w:val="22"/>
          <w:szCs w:val="22"/>
        </w:rPr>
        <w:t>organiser l</w:t>
      </w:r>
      <w:r w:rsidRPr="009D0168">
        <w:rPr>
          <w:rFonts w:asciiTheme="minorHAnsi" w:hAnsiTheme="minorHAnsi" w:cstheme="minorHAnsi"/>
          <w:sz w:val="22"/>
          <w:szCs w:val="22"/>
        </w:rPr>
        <w:t>es analyses et présentations de cas qui  seront</w:t>
      </w:r>
      <w:r>
        <w:rPr>
          <w:rFonts w:asciiTheme="minorHAnsi" w:hAnsiTheme="minorHAnsi" w:cstheme="minorHAnsi"/>
          <w:sz w:val="22"/>
          <w:szCs w:val="22"/>
        </w:rPr>
        <w:t xml:space="preserve"> dans un second temps</w:t>
      </w:r>
      <w:r w:rsidRPr="009D0168">
        <w:rPr>
          <w:rFonts w:asciiTheme="minorHAnsi" w:hAnsiTheme="minorHAnsi" w:cstheme="minorHAnsi"/>
          <w:sz w:val="22"/>
          <w:szCs w:val="22"/>
        </w:rPr>
        <w:t xml:space="preserve"> élaborées.</w:t>
      </w:r>
    </w:p>
    <w:p w:rsidR="00A05778" w:rsidRDefault="00A05778" w:rsidP="00A05778">
      <w:pPr>
        <w:tabs>
          <w:tab w:val="left" w:pos="284"/>
          <w:tab w:val="left" w:pos="567"/>
        </w:tabs>
        <w:spacing w:line="260" w:lineRule="exact"/>
        <w:jc w:val="both"/>
        <w:rPr>
          <w:rFonts w:asciiTheme="minorHAnsi" w:hAnsiTheme="minorHAnsi" w:cstheme="minorHAnsi"/>
          <w:sz w:val="22"/>
          <w:szCs w:val="22"/>
        </w:rPr>
      </w:pPr>
    </w:p>
    <w:p w:rsidR="00A05778" w:rsidRDefault="00A05778" w:rsidP="00A05778">
      <w:pPr>
        <w:spacing w:line="260" w:lineRule="exact"/>
        <w:jc w:val="both"/>
        <w:rPr>
          <w:rFonts w:asciiTheme="minorHAnsi" w:hAnsiTheme="minorHAnsi" w:cstheme="minorHAnsi"/>
          <w:sz w:val="22"/>
          <w:szCs w:val="22"/>
        </w:rPr>
      </w:pPr>
      <w:r>
        <w:rPr>
          <w:rFonts w:asciiTheme="minorHAnsi" w:hAnsiTheme="minorHAnsi" w:cstheme="minorHAnsi"/>
          <w:sz w:val="22"/>
          <w:szCs w:val="22"/>
        </w:rPr>
        <w:lastRenderedPageBreak/>
        <w:t xml:space="preserve">Sur la base de cette « nomenclature » d’opérations réalisées par les organismes en tissu urbain existant, </w:t>
      </w:r>
      <w:r>
        <w:rPr>
          <w:rFonts w:asciiTheme="minorHAnsi" w:hAnsiTheme="minorHAnsi" w:cstheme="minorHAnsi"/>
          <w:b/>
          <w:sz w:val="22"/>
          <w:szCs w:val="22"/>
        </w:rPr>
        <w:t>une enquête sera</w:t>
      </w:r>
      <w:r w:rsidRPr="00E0063D">
        <w:rPr>
          <w:rFonts w:asciiTheme="minorHAnsi" w:hAnsiTheme="minorHAnsi" w:cstheme="minorHAnsi"/>
          <w:b/>
          <w:sz w:val="22"/>
          <w:szCs w:val="22"/>
        </w:rPr>
        <w:t xml:space="preserve"> lancée par l’USH auprès de l’ensemble des organismes pour repérer des réalisations significatives de chaque type</w:t>
      </w:r>
      <w:r w:rsidR="00D33B03">
        <w:rPr>
          <w:rFonts w:asciiTheme="minorHAnsi" w:hAnsiTheme="minorHAnsi" w:cstheme="minorHAnsi"/>
          <w:sz w:val="22"/>
          <w:szCs w:val="22"/>
        </w:rPr>
        <w:t>.</w:t>
      </w:r>
    </w:p>
    <w:p w:rsidR="00D33B03" w:rsidRDefault="00D33B03" w:rsidP="00A05778">
      <w:pPr>
        <w:spacing w:line="260" w:lineRule="exact"/>
        <w:jc w:val="both"/>
        <w:rPr>
          <w:rFonts w:asciiTheme="minorHAnsi" w:hAnsiTheme="minorHAnsi" w:cstheme="minorHAnsi"/>
          <w:sz w:val="22"/>
          <w:szCs w:val="22"/>
        </w:rPr>
      </w:pPr>
    </w:p>
    <w:p w:rsidR="003475DE" w:rsidRDefault="00D33B03" w:rsidP="00A05778">
      <w:pPr>
        <w:spacing w:line="260" w:lineRule="exact"/>
        <w:jc w:val="both"/>
        <w:rPr>
          <w:rFonts w:asciiTheme="minorHAnsi" w:hAnsiTheme="minorHAnsi" w:cstheme="minorHAnsi"/>
          <w:sz w:val="22"/>
          <w:szCs w:val="22"/>
        </w:rPr>
      </w:pPr>
      <w:r w:rsidRPr="003475DE">
        <w:rPr>
          <w:rFonts w:asciiTheme="minorHAnsi" w:hAnsiTheme="minorHAnsi" w:cstheme="minorHAnsi"/>
          <w:b/>
          <w:sz w:val="22"/>
          <w:szCs w:val="22"/>
        </w:rPr>
        <w:t>Douze</w:t>
      </w:r>
      <w:r w:rsidR="00A05778" w:rsidRPr="003475DE">
        <w:rPr>
          <w:rFonts w:asciiTheme="minorHAnsi" w:hAnsiTheme="minorHAnsi" w:cstheme="minorHAnsi"/>
          <w:b/>
          <w:sz w:val="22"/>
          <w:szCs w:val="22"/>
        </w:rPr>
        <w:t xml:space="preserve"> </w:t>
      </w:r>
      <w:r w:rsidR="00A05778" w:rsidRPr="00A05778">
        <w:rPr>
          <w:rFonts w:asciiTheme="minorHAnsi" w:hAnsiTheme="minorHAnsi" w:cstheme="minorHAnsi"/>
          <w:b/>
          <w:sz w:val="22"/>
          <w:szCs w:val="22"/>
        </w:rPr>
        <w:t xml:space="preserve">opérations </w:t>
      </w:r>
      <w:r w:rsidR="003475DE">
        <w:rPr>
          <w:rFonts w:asciiTheme="minorHAnsi" w:hAnsiTheme="minorHAnsi" w:cstheme="minorHAnsi"/>
          <w:b/>
          <w:sz w:val="22"/>
          <w:szCs w:val="22"/>
        </w:rPr>
        <w:t xml:space="preserve">représentatives seront </w:t>
      </w:r>
      <w:r w:rsidR="00A05778" w:rsidRPr="00A05778">
        <w:rPr>
          <w:rFonts w:asciiTheme="minorHAnsi" w:hAnsiTheme="minorHAnsi" w:cstheme="minorHAnsi"/>
          <w:b/>
          <w:sz w:val="22"/>
          <w:szCs w:val="22"/>
        </w:rPr>
        <w:t>a</w:t>
      </w:r>
      <w:r w:rsidR="003475DE">
        <w:rPr>
          <w:rFonts w:asciiTheme="minorHAnsi" w:hAnsiTheme="minorHAnsi" w:cstheme="minorHAnsi"/>
          <w:b/>
          <w:sz w:val="22"/>
          <w:szCs w:val="22"/>
        </w:rPr>
        <w:t xml:space="preserve">insi recensées : elles </w:t>
      </w:r>
      <w:r w:rsidR="00A05778" w:rsidRPr="00A05778">
        <w:rPr>
          <w:rFonts w:asciiTheme="minorHAnsi" w:hAnsiTheme="minorHAnsi" w:cstheme="minorHAnsi"/>
          <w:b/>
          <w:sz w:val="22"/>
          <w:szCs w:val="22"/>
        </w:rPr>
        <w:t>devront être pour la plupart récemment livrées ou en voie d’achèvement</w:t>
      </w:r>
      <w:r w:rsidR="003475DE">
        <w:rPr>
          <w:rFonts w:asciiTheme="minorHAnsi" w:hAnsiTheme="minorHAnsi" w:cstheme="minorHAnsi"/>
          <w:sz w:val="22"/>
          <w:szCs w:val="22"/>
        </w:rPr>
        <w:t>. L</w:t>
      </w:r>
      <w:r w:rsidR="00A05778">
        <w:rPr>
          <w:rFonts w:asciiTheme="minorHAnsi" w:hAnsiTheme="minorHAnsi" w:cstheme="minorHAnsi"/>
          <w:sz w:val="22"/>
          <w:szCs w:val="22"/>
        </w:rPr>
        <w:t>e cas</w:t>
      </w:r>
      <w:r>
        <w:rPr>
          <w:rFonts w:asciiTheme="minorHAnsi" w:hAnsiTheme="minorHAnsi" w:cstheme="minorHAnsi"/>
          <w:sz w:val="22"/>
          <w:szCs w:val="22"/>
        </w:rPr>
        <w:t xml:space="preserve"> échéant</w:t>
      </w:r>
      <w:r w:rsidR="003475DE">
        <w:rPr>
          <w:rFonts w:asciiTheme="minorHAnsi" w:hAnsiTheme="minorHAnsi" w:cstheme="minorHAnsi"/>
          <w:sz w:val="22"/>
          <w:szCs w:val="22"/>
        </w:rPr>
        <w:t xml:space="preserve">, </w:t>
      </w:r>
      <w:r>
        <w:rPr>
          <w:rFonts w:asciiTheme="minorHAnsi" w:hAnsiTheme="minorHAnsi" w:cstheme="minorHAnsi"/>
          <w:sz w:val="22"/>
          <w:szCs w:val="22"/>
        </w:rPr>
        <w:t xml:space="preserve"> des </w:t>
      </w:r>
      <w:r w:rsidR="00A05778">
        <w:rPr>
          <w:rFonts w:asciiTheme="minorHAnsi" w:hAnsiTheme="minorHAnsi" w:cstheme="minorHAnsi"/>
          <w:sz w:val="22"/>
          <w:szCs w:val="22"/>
        </w:rPr>
        <w:t>opérations dont le montage est en cours</w:t>
      </w:r>
      <w:r w:rsidR="003475DE">
        <w:rPr>
          <w:rFonts w:asciiTheme="minorHAnsi" w:hAnsiTheme="minorHAnsi" w:cstheme="minorHAnsi"/>
          <w:sz w:val="22"/>
          <w:szCs w:val="22"/>
        </w:rPr>
        <w:t xml:space="preserve"> pourront être retenues, </w:t>
      </w:r>
      <w:r w:rsidR="00A05778">
        <w:rPr>
          <w:rFonts w:asciiTheme="minorHAnsi" w:hAnsiTheme="minorHAnsi" w:cstheme="minorHAnsi"/>
          <w:sz w:val="22"/>
          <w:szCs w:val="22"/>
        </w:rPr>
        <w:t xml:space="preserve"> pour autant qu’elles soient innovantes et illustratives des incitations récentes invitant à une ville « intense » et</w:t>
      </w:r>
      <w:r w:rsidR="003475DE">
        <w:rPr>
          <w:rFonts w:asciiTheme="minorHAnsi" w:hAnsiTheme="minorHAnsi" w:cstheme="minorHAnsi"/>
          <w:sz w:val="22"/>
          <w:szCs w:val="22"/>
        </w:rPr>
        <w:t xml:space="preserve"> renouvelée.</w:t>
      </w:r>
      <w:r w:rsidR="00A05778">
        <w:rPr>
          <w:rFonts w:asciiTheme="minorHAnsi" w:hAnsiTheme="minorHAnsi" w:cstheme="minorHAnsi"/>
          <w:sz w:val="22"/>
          <w:szCs w:val="22"/>
        </w:rPr>
        <w:t xml:space="preserve"> </w:t>
      </w:r>
    </w:p>
    <w:p w:rsidR="00A05778" w:rsidRDefault="00A05778" w:rsidP="00A05778">
      <w:pPr>
        <w:spacing w:line="260" w:lineRule="exact"/>
        <w:jc w:val="both"/>
        <w:rPr>
          <w:rFonts w:asciiTheme="minorHAnsi" w:hAnsiTheme="minorHAnsi" w:cstheme="minorHAnsi"/>
          <w:sz w:val="22"/>
          <w:szCs w:val="22"/>
        </w:rPr>
      </w:pPr>
      <w:r>
        <w:rPr>
          <w:rFonts w:asciiTheme="minorHAnsi" w:hAnsiTheme="minorHAnsi" w:cstheme="minorHAnsi"/>
          <w:sz w:val="22"/>
          <w:szCs w:val="22"/>
        </w:rPr>
        <w:t xml:space="preserve">On ne cherchera pas tant à valoriser des actions exceptionnelles, qu’à décrire et analyser des opérations </w:t>
      </w:r>
      <w:r w:rsidRPr="003475DE">
        <w:rPr>
          <w:rFonts w:asciiTheme="minorHAnsi" w:hAnsiTheme="minorHAnsi" w:cstheme="minorHAnsi"/>
          <w:i/>
          <w:sz w:val="22"/>
          <w:szCs w:val="22"/>
        </w:rPr>
        <w:t>reproductibles</w:t>
      </w:r>
      <w:r>
        <w:rPr>
          <w:rFonts w:asciiTheme="minorHAnsi" w:hAnsiTheme="minorHAnsi" w:cstheme="minorHAnsi"/>
          <w:sz w:val="22"/>
          <w:szCs w:val="22"/>
        </w:rPr>
        <w:t>, illustrant bien  la variété des situations, des montages, etc…</w:t>
      </w:r>
    </w:p>
    <w:p w:rsidR="00A05778" w:rsidRDefault="00A05778" w:rsidP="00A05778">
      <w:pPr>
        <w:tabs>
          <w:tab w:val="left" w:pos="284"/>
          <w:tab w:val="left" w:pos="567"/>
        </w:tabs>
        <w:spacing w:line="260" w:lineRule="exact"/>
        <w:jc w:val="both"/>
        <w:rPr>
          <w:rFonts w:asciiTheme="minorHAnsi" w:hAnsiTheme="minorHAnsi" w:cstheme="minorHAnsi"/>
          <w:sz w:val="22"/>
          <w:szCs w:val="22"/>
        </w:rPr>
      </w:pPr>
    </w:p>
    <w:p w:rsidR="00A05778" w:rsidRPr="00EA6262" w:rsidRDefault="00A05778" w:rsidP="00A05778">
      <w:pPr>
        <w:tabs>
          <w:tab w:val="left" w:pos="284"/>
          <w:tab w:val="left" w:pos="567"/>
        </w:tabs>
        <w:spacing w:line="260" w:lineRule="exact"/>
        <w:jc w:val="both"/>
        <w:rPr>
          <w:rFonts w:asciiTheme="minorHAnsi" w:hAnsiTheme="minorHAnsi" w:cstheme="minorHAnsi"/>
          <w:i/>
          <w:sz w:val="22"/>
          <w:szCs w:val="22"/>
        </w:rPr>
      </w:pPr>
      <w:r>
        <w:rPr>
          <w:rFonts w:asciiTheme="minorHAnsi" w:hAnsiTheme="minorHAnsi" w:cstheme="minorHAnsi"/>
          <w:i/>
          <w:sz w:val="22"/>
          <w:szCs w:val="22"/>
        </w:rPr>
        <w:tab/>
      </w:r>
      <w:r w:rsidRPr="00EA6262">
        <w:rPr>
          <w:rFonts w:asciiTheme="minorHAnsi" w:hAnsiTheme="minorHAnsi" w:cstheme="minorHAnsi"/>
          <w:i/>
          <w:sz w:val="22"/>
          <w:szCs w:val="22"/>
        </w:rPr>
        <w:t>NOTE : sont exclues du champ de l’étude les opérations montées en vue de la densification / restructuration de quartiers d’habitat social, qui ont fait l’objet d’une précédente étude.</w:t>
      </w:r>
    </w:p>
    <w:p w:rsidR="00A05778" w:rsidRDefault="00A05778" w:rsidP="00A05778">
      <w:pPr>
        <w:tabs>
          <w:tab w:val="left" w:pos="284"/>
          <w:tab w:val="left" w:pos="567"/>
        </w:tabs>
        <w:spacing w:line="260" w:lineRule="exact"/>
        <w:jc w:val="both"/>
        <w:rPr>
          <w:rFonts w:asciiTheme="minorHAnsi" w:hAnsiTheme="minorHAnsi" w:cstheme="minorHAnsi"/>
          <w:sz w:val="22"/>
          <w:szCs w:val="22"/>
        </w:rPr>
      </w:pPr>
    </w:p>
    <w:p w:rsidR="00A05778" w:rsidRPr="009D0168" w:rsidRDefault="00A05778" w:rsidP="009B3B2E">
      <w:pPr>
        <w:tabs>
          <w:tab w:val="left" w:pos="284"/>
          <w:tab w:val="left" w:pos="567"/>
        </w:tabs>
        <w:spacing w:line="260" w:lineRule="exact"/>
        <w:jc w:val="both"/>
        <w:rPr>
          <w:rFonts w:asciiTheme="minorHAnsi" w:hAnsiTheme="minorHAnsi" w:cstheme="minorHAnsi"/>
          <w:b/>
          <w:sz w:val="22"/>
          <w:szCs w:val="22"/>
        </w:rPr>
      </w:pPr>
      <w:r>
        <w:rPr>
          <w:rFonts w:asciiTheme="minorHAnsi" w:hAnsiTheme="minorHAnsi" w:cstheme="minorHAnsi"/>
          <w:sz w:val="22"/>
          <w:szCs w:val="22"/>
        </w:rPr>
        <w:t>L</w:t>
      </w:r>
      <w:r w:rsidRPr="009D0168">
        <w:rPr>
          <w:rFonts w:asciiTheme="minorHAnsi" w:hAnsiTheme="minorHAnsi" w:cstheme="minorHAnsi"/>
          <w:b/>
          <w:sz w:val="22"/>
          <w:szCs w:val="22"/>
        </w:rPr>
        <w:t>e résultat de la démarche consistera en un document</w:t>
      </w:r>
      <w:r>
        <w:rPr>
          <w:rFonts w:asciiTheme="minorHAnsi" w:hAnsiTheme="minorHAnsi" w:cstheme="minorHAnsi"/>
          <w:b/>
          <w:sz w:val="22"/>
          <w:szCs w:val="22"/>
        </w:rPr>
        <w:t>, publiable et diffusable,</w:t>
      </w:r>
      <w:r w:rsidRPr="009D0168">
        <w:rPr>
          <w:rFonts w:asciiTheme="minorHAnsi" w:hAnsiTheme="minorHAnsi" w:cstheme="minorHAnsi"/>
          <w:b/>
          <w:sz w:val="22"/>
          <w:szCs w:val="22"/>
        </w:rPr>
        <w:t xml:space="preserve"> qui  -</w:t>
      </w:r>
      <w:r>
        <w:rPr>
          <w:rFonts w:asciiTheme="minorHAnsi" w:hAnsiTheme="minorHAnsi" w:cstheme="minorHAnsi"/>
          <w:b/>
          <w:sz w:val="22"/>
          <w:szCs w:val="22"/>
        </w:rPr>
        <w:t xml:space="preserve"> </w:t>
      </w:r>
      <w:r w:rsidRPr="009D0168">
        <w:rPr>
          <w:b/>
        </w:rPr>
        <w:t>o</w:t>
      </w:r>
      <w:r w:rsidRPr="009D0168">
        <w:rPr>
          <w:rFonts w:asciiTheme="minorHAnsi" w:hAnsiTheme="minorHAnsi" w:cstheme="minorHAnsi"/>
          <w:b/>
          <w:sz w:val="22"/>
          <w:szCs w:val="22"/>
        </w:rPr>
        <w:t>utre le cadrage succinct du contexte</w:t>
      </w:r>
      <w:r>
        <w:rPr>
          <w:rFonts w:asciiTheme="minorHAnsi" w:hAnsiTheme="minorHAnsi" w:cstheme="minorHAnsi"/>
          <w:b/>
          <w:sz w:val="22"/>
          <w:szCs w:val="22"/>
        </w:rPr>
        <w:t xml:space="preserve"> actuel</w:t>
      </w:r>
      <w:r w:rsidRPr="009D0168">
        <w:rPr>
          <w:rFonts w:asciiTheme="minorHAnsi" w:hAnsiTheme="minorHAnsi" w:cstheme="minorHAnsi"/>
          <w:b/>
          <w:sz w:val="22"/>
          <w:szCs w:val="22"/>
        </w:rPr>
        <w:t xml:space="preserve"> (les diverses mesures issues des textes récents incitant à la densification</w:t>
      </w:r>
      <w:r>
        <w:rPr>
          <w:rFonts w:asciiTheme="minorHAnsi" w:hAnsiTheme="minorHAnsi" w:cstheme="minorHAnsi"/>
          <w:b/>
          <w:sz w:val="22"/>
          <w:szCs w:val="22"/>
        </w:rPr>
        <w:t xml:space="preserve"> en tissu existant</w:t>
      </w:r>
      <w:r w:rsidRPr="009D0168">
        <w:rPr>
          <w:rFonts w:asciiTheme="minorHAnsi" w:hAnsiTheme="minorHAnsi" w:cstheme="minorHAnsi"/>
          <w:b/>
          <w:sz w:val="22"/>
          <w:szCs w:val="22"/>
        </w:rPr>
        <w:t>) -  sera structuré en chapitres</w:t>
      </w:r>
      <w:r>
        <w:rPr>
          <w:rFonts w:asciiTheme="minorHAnsi" w:hAnsiTheme="minorHAnsi" w:cstheme="minorHAnsi"/>
          <w:b/>
          <w:sz w:val="22"/>
          <w:szCs w:val="22"/>
        </w:rPr>
        <w:t xml:space="preserve"> consacrés à chacun</w:t>
      </w:r>
      <w:r w:rsidRPr="009D0168">
        <w:rPr>
          <w:rFonts w:asciiTheme="minorHAnsi" w:hAnsiTheme="minorHAnsi" w:cstheme="minorHAnsi"/>
          <w:b/>
          <w:sz w:val="22"/>
          <w:szCs w:val="22"/>
        </w:rPr>
        <w:t xml:space="preserve"> des types d’opération retenus, et présentant pour chaque chapitre :</w:t>
      </w:r>
    </w:p>
    <w:p w:rsidR="00A05778" w:rsidRPr="009D0168" w:rsidRDefault="00A05778" w:rsidP="009B3B2E">
      <w:pPr>
        <w:pStyle w:val="Paragraphedeliste"/>
        <w:numPr>
          <w:ilvl w:val="0"/>
          <w:numId w:val="27"/>
        </w:numPr>
        <w:tabs>
          <w:tab w:val="left" w:pos="284"/>
          <w:tab w:val="left" w:pos="567"/>
        </w:tabs>
        <w:spacing w:line="260" w:lineRule="exact"/>
        <w:jc w:val="both"/>
        <w:rPr>
          <w:rFonts w:asciiTheme="minorHAnsi" w:hAnsiTheme="minorHAnsi" w:cstheme="minorHAnsi"/>
          <w:b/>
          <w:sz w:val="22"/>
          <w:szCs w:val="22"/>
        </w:rPr>
      </w:pPr>
      <w:r>
        <w:rPr>
          <w:rFonts w:asciiTheme="minorHAnsi" w:hAnsiTheme="minorHAnsi" w:cstheme="minorHAnsi"/>
          <w:b/>
          <w:sz w:val="22"/>
          <w:szCs w:val="22"/>
        </w:rPr>
        <w:t>Un</w:t>
      </w:r>
      <w:r w:rsidRPr="009D0168">
        <w:rPr>
          <w:rFonts w:asciiTheme="minorHAnsi" w:hAnsiTheme="minorHAnsi" w:cstheme="minorHAnsi"/>
          <w:b/>
          <w:sz w:val="22"/>
          <w:szCs w:val="22"/>
        </w:rPr>
        <w:t>e</w:t>
      </w:r>
      <w:r>
        <w:rPr>
          <w:rFonts w:asciiTheme="minorHAnsi" w:hAnsiTheme="minorHAnsi" w:cstheme="minorHAnsi"/>
          <w:b/>
          <w:sz w:val="22"/>
          <w:szCs w:val="22"/>
        </w:rPr>
        <w:t xml:space="preserve"> (ou deux)</w:t>
      </w:r>
      <w:r w:rsidRPr="009D0168">
        <w:rPr>
          <w:rFonts w:asciiTheme="minorHAnsi" w:hAnsiTheme="minorHAnsi" w:cstheme="minorHAnsi"/>
          <w:b/>
          <w:sz w:val="22"/>
          <w:szCs w:val="22"/>
        </w:rPr>
        <w:t xml:space="preserve"> étude</w:t>
      </w:r>
      <w:r>
        <w:rPr>
          <w:rFonts w:asciiTheme="minorHAnsi" w:hAnsiTheme="minorHAnsi" w:cstheme="minorHAnsi"/>
          <w:b/>
          <w:sz w:val="22"/>
          <w:szCs w:val="22"/>
        </w:rPr>
        <w:t>s</w:t>
      </w:r>
      <w:r w:rsidRPr="009D0168">
        <w:rPr>
          <w:rFonts w:asciiTheme="minorHAnsi" w:hAnsiTheme="minorHAnsi" w:cstheme="minorHAnsi"/>
          <w:b/>
          <w:sz w:val="22"/>
          <w:szCs w:val="22"/>
        </w:rPr>
        <w:t xml:space="preserve"> de cas </w:t>
      </w:r>
    </w:p>
    <w:p w:rsidR="00A05778" w:rsidRPr="009D0168" w:rsidRDefault="00A05778" w:rsidP="009B3B2E">
      <w:pPr>
        <w:pStyle w:val="Paragraphedeliste"/>
        <w:numPr>
          <w:ilvl w:val="0"/>
          <w:numId w:val="27"/>
        </w:numPr>
        <w:tabs>
          <w:tab w:val="left" w:pos="284"/>
          <w:tab w:val="left" w:pos="567"/>
        </w:tabs>
        <w:spacing w:line="260" w:lineRule="exact"/>
        <w:jc w:val="both"/>
        <w:rPr>
          <w:rFonts w:asciiTheme="minorHAnsi" w:hAnsiTheme="minorHAnsi" w:cstheme="minorHAnsi"/>
          <w:b/>
          <w:sz w:val="22"/>
          <w:szCs w:val="22"/>
        </w:rPr>
      </w:pPr>
      <w:r>
        <w:rPr>
          <w:rFonts w:asciiTheme="minorHAnsi" w:hAnsiTheme="minorHAnsi" w:cstheme="minorHAnsi"/>
          <w:b/>
          <w:sz w:val="22"/>
          <w:szCs w:val="22"/>
        </w:rPr>
        <w:t>U</w:t>
      </w:r>
      <w:r w:rsidRPr="009D0168">
        <w:rPr>
          <w:rFonts w:asciiTheme="minorHAnsi" w:hAnsiTheme="minorHAnsi" w:cstheme="minorHAnsi"/>
          <w:b/>
          <w:sz w:val="22"/>
          <w:szCs w:val="22"/>
        </w:rPr>
        <w:t>ne notice méthodologique</w:t>
      </w:r>
      <w:r>
        <w:rPr>
          <w:rFonts w:asciiTheme="minorHAnsi" w:hAnsiTheme="minorHAnsi" w:cstheme="minorHAnsi"/>
          <w:b/>
          <w:sz w:val="22"/>
          <w:szCs w:val="22"/>
        </w:rPr>
        <w:t>,</w:t>
      </w:r>
      <w:r w:rsidRPr="009D0168">
        <w:rPr>
          <w:rFonts w:asciiTheme="minorHAnsi" w:hAnsiTheme="minorHAnsi" w:cstheme="minorHAnsi"/>
          <w:b/>
          <w:sz w:val="22"/>
          <w:szCs w:val="22"/>
        </w:rPr>
        <w:t xml:space="preserve"> plus générale</w:t>
      </w:r>
      <w:r>
        <w:rPr>
          <w:rFonts w:asciiTheme="minorHAnsi" w:hAnsiTheme="minorHAnsi" w:cstheme="minorHAnsi"/>
          <w:b/>
          <w:sz w:val="22"/>
          <w:szCs w:val="22"/>
        </w:rPr>
        <w:t>,</w:t>
      </w:r>
      <w:r w:rsidRPr="009D0168">
        <w:rPr>
          <w:rFonts w:asciiTheme="minorHAnsi" w:hAnsiTheme="minorHAnsi" w:cstheme="minorHAnsi"/>
          <w:b/>
          <w:sz w:val="22"/>
          <w:szCs w:val="22"/>
        </w:rPr>
        <w:t xml:space="preserve"> et</w:t>
      </w:r>
      <w:r>
        <w:rPr>
          <w:rFonts w:asciiTheme="minorHAnsi" w:hAnsiTheme="minorHAnsi" w:cstheme="minorHAnsi"/>
          <w:b/>
          <w:sz w:val="22"/>
          <w:szCs w:val="22"/>
        </w:rPr>
        <w:t xml:space="preserve"> tirant les enseignements et préconisations, à usage des organismes, concernant le montage de chaque type d’opération</w:t>
      </w:r>
      <w:r w:rsidRPr="009D0168">
        <w:rPr>
          <w:rFonts w:asciiTheme="minorHAnsi" w:hAnsiTheme="minorHAnsi" w:cstheme="minorHAnsi"/>
          <w:b/>
          <w:sz w:val="22"/>
          <w:szCs w:val="22"/>
        </w:rPr>
        <w:t xml:space="preserve">.  </w:t>
      </w:r>
    </w:p>
    <w:p w:rsidR="004C6FC2" w:rsidRDefault="004C6FC2" w:rsidP="00F804D1">
      <w:pPr>
        <w:ind w:left="705"/>
        <w:rPr>
          <w:rFonts w:ascii="Calibri" w:hAnsi="Calibri" w:cs="Calibri"/>
          <w:sz w:val="22"/>
          <w:szCs w:val="22"/>
        </w:rPr>
      </w:pPr>
    </w:p>
    <w:p w:rsidR="0096504A" w:rsidRPr="00D33B03" w:rsidRDefault="0096504A" w:rsidP="00B72E22">
      <w:pPr>
        <w:pBdr>
          <w:bottom w:val="single" w:sz="6" w:space="1" w:color="auto"/>
        </w:pBdr>
        <w:ind w:left="357" w:hanging="357"/>
        <w:jc w:val="both"/>
        <w:rPr>
          <w:rFonts w:ascii="Calibri" w:hAnsi="Calibri" w:cs="Calibri"/>
          <w:b/>
          <w:smallCaps/>
          <w:color w:val="1F497D" w:themeColor="text2"/>
          <w:sz w:val="24"/>
          <w:szCs w:val="24"/>
        </w:rPr>
      </w:pPr>
      <w:r w:rsidRPr="00346DA2">
        <w:rPr>
          <w:rFonts w:ascii="Calibri" w:hAnsi="Calibri" w:cs="Calibri"/>
          <w:b/>
          <w:smallCaps/>
          <w:color w:val="1F497D" w:themeColor="text2"/>
          <w:sz w:val="24"/>
          <w:szCs w:val="24"/>
        </w:rPr>
        <w:t>3.</w:t>
      </w:r>
      <w:r w:rsidRPr="00346DA2">
        <w:rPr>
          <w:rFonts w:ascii="Calibri" w:hAnsi="Calibri" w:cs="Calibri"/>
          <w:b/>
          <w:smallCaps/>
          <w:color w:val="1F497D" w:themeColor="text2"/>
          <w:sz w:val="24"/>
          <w:szCs w:val="24"/>
        </w:rPr>
        <w:tab/>
      </w:r>
      <w:r w:rsidR="00B72E22" w:rsidRPr="00346DA2">
        <w:rPr>
          <w:rFonts w:ascii="Calibri" w:hAnsi="Calibri" w:cs="Calibri"/>
          <w:b/>
          <w:smallCaps/>
          <w:color w:val="1F497D" w:themeColor="text2"/>
          <w:sz w:val="24"/>
          <w:szCs w:val="24"/>
        </w:rPr>
        <w:t>Méthode d’intervention</w:t>
      </w:r>
      <w:r w:rsidR="004C6FC2">
        <w:rPr>
          <w:rFonts w:ascii="Calibri" w:hAnsi="Calibri" w:cs="Calibri"/>
          <w:b/>
          <w:smallCaps/>
          <w:color w:val="1F497D" w:themeColor="text2"/>
          <w:sz w:val="24"/>
          <w:szCs w:val="24"/>
        </w:rPr>
        <w:t xml:space="preserve"> </w:t>
      </w:r>
      <w:r w:rsidR="00D33B03">
        <w:rPr>
          <w:rFonts w:ascii="Calibri" w:hAnsi="Calibri" w:cs="Calibri"/>
          <w:b/>
          <w:smallCaps/>
          <w:color w:val="1F497D" w:themeColor="text2"/>
          <w:sz w:val="24"/>
          <w:szCs w:val="24"/>
        </w:rPr>
        <w:t xml:space="preserve">du Groupement </w:t>
      </w:r>
      <w:r w:rsidR="00D33B03" w:rsidRPr="00D33B03">
        <w:rPr>
          <w:rFonts w:ascii="Calibri" w:hAnsi="Calibri" w:cs="Calibri"/>
          <w:b/>
          <w:smallCaps/>
          <w:color w:val="1F497D" w:themeColor="text2"/>
          <w:sz w:val="24"/>
          <w:szCs w:val="24"/>
        </w:rPr>
        <w:t xml:space="preserve">Adéquation </w:t>
      </w:r>
      <w:r w:rsidR="00A85CF9">
        <w:rPr>
          <w:rFonts w:ascii="Calibri" w:hAnsi="Calibri" w:cs="Calibri"/>
          <w:b/>
          <w:smallCaps/>
          <w:color w:val="1F497D" w:themeColor="text2"/>
          <w:sz w:val="24"/>
          <w:szCs w:val="24"/>
        </w:rPr>
        <w:t xml:space="preserve">/ Babylone Avenue </w:t>
      </w:r>
      <w:r w:rsidR="00D33B03" w:rsidRPr="00D33B03">
        <w:rPr>
          <w:rFonts w:ascii="Calibri" w:hAnsi="Calibri" w:cs="Calibri"/>
          <w:b/>
          <w:smallCaps/>
          <w:color w:val="1F497D" w:themeColor="text2"/>
          <w:sz w:val="24"/>
          <w:szCs w:val="24"/>
        </w:rPr>
        <w:t xml:space="preserve"> / Cabinet </w:t>
      </w:r>
      <w:proofErr w:type="spellStart"/>
      <w:r w:rsidR="00D33B03" w:rsidRPr="00D33B03">
        <w:rPr>
          <w:rFonts w:ascii="Calibri" w:hAnsi="Calibri" w:cs="Calibri"/>
          <w:b/>
          <w:smallCaps/>
          <w:color w:val="1F497D" w:themeColor="text2"/>
          <w:sz w:val="24"/>
          <w:szCs w:val="24"/>
        </w:rPr>
        <w:t>ASEA</w:t>
      </w:r>
      <w:proofErr w:type="spellEnd"/>
    </w:p>
    <w:p w:rsidR="00D33B03" w:rsidRDefault="00D33B03" w:rsidP="00D33B03">
      <w:pPr>
        <w:pStyle w:val="Default"/>
      </w:pPr>
    </w:p>
    <w:p w:rsidR="009B3B2E" w:rsidRDefault="009B3B2E" w:rsidP="007E22F7">
      <w:pPr>
        <w:pStyle w:val="Default"/>
        <w:numPr>
          <w:ilvl w:val="0"/>
          <w:numId w:val="29"/>
        </w:numPr>
        <w:rPr>
          <w:b/>
          <w:sz w:val="20"/>
          <w:szCs w:val="20"/>
        </w:rPr>
      </w:pPr>
      <w:r>
        <w:rPr>
          <w:b/>
          <w:bCs/>
          <w:sz w:val="23"/>
          <w:szCs w:val="23"/>
        </w:rPr>
        <w:t>Note de contexte</w:t>
      </w:r>
      <w:r w:rsidR="003475DE">
        <w:rPr>
          <w:b/>
          <w:bCs/>
          <w:sz w:val="23"/>
          <w:szCs w:val="23"/>
        </w:rPr>
        <w:t xml:space="preserve"> législatif et règlementaire</w:t>
      </w:r>
      <w:r>
        <w:rPr>
          <w:b/>
          <w:bCs/>
          <w:sz w:val="23"/>
          <w:szCs w:val="23"/>
        </w:rPr>
        <w:t xml:space="preserve"> et </w:t>
      </w:r>
      <w:r w:rsidR="00AD00AE">
        <w:rPr>
          <w:b/>
          <w:bCs/>
          <w:sz w:val="23"/>
          <w:szCs w:val="23"/>
        </w:rPr>
        <w:t xml:space="preserve">constitution d’une </w:t>
      </w:r>
      <w:r>
        <w:rPr>
          <w:b/>
          <w:bCs/>
          <w:sz w:val="23"/>
          <w:szCs w:val="23"/>
        </w:rPr>
        <w:t>typologie d’opérations</w:t>
      </w:r>
    </w:p>
    <w:p w:rsidR="009B3B2E" w:rsidRDefault="009B3B2E" w:rsidP="009B3B2E">
      <w:pPr>
        <w:pStyle w:val="Default"/>
        <w:rPr>
          <w:b/>
          <w:sz w:val="20"/>
          <w:szCs w:val="20"/>
        </w:rPr>
      </w:pPr>
    </w:p>
    <w:p w:rsidR="00D33B03" w:rsidRPr="007E22F7" w:rsidRDefault="007E22F7" w:rsidP="009B3B2E">
      <w:pPr>
        <w:pStyle w:val="Default"/>
        <w:rPr>
          <w:b/>
          <w:sz w:val="20"/>
          <w:szCs w:val="20"/>
        </w:rPr>
      </w:pPr>
      <w:r w:rsidRPr="007E22F7">
        <w:rPr>
          <w:b/>
          <w:sz w:val="20"/>
          <w:szCs w:val="20"/>
        </w:rPr>
        <w:t>Rédaction d’une n</w:t>
      </w:r>
      <w:r w:rsidR="00D33B03" w:rsidRPr="007E22F7">
        <w:rPr>
          <w:b/>
          <w:sz w:val="20"/>
          <w:szCs w:val="20"/>
        </w:rPr>
        <w:t xml:space="preserve">ote de contexte des mesures issues des textes récents incitants à la densification </w:t>
      </w:r>
      <w:r w:rsidR="00A85CF9">
        <w:rPr>
          <w:b/>
          <w:sz w:val="20"/>
          <w:szCs w:val="20"/>
        </w:rPr>
        <w:t>en tissu existant</w:t>
      </w:r>
    </w:p>
    <w:p w:rsidR="009B3B2E" w:rsidRPr="00B31D10" w:rsidRDefault="00D33B03" w:rsidP="00D33B03">
      <w:pPr>
        <w:pStyle w:val="Default"/>
        <w:rPr>
          <w:rFonts w:asciiTheme="minorHAnsi" w:hAnsiTheme="minorHAnsi" w:cstheme="minorHAnsi"/>
          <w:color w:val="auto"/>
          <w:sz w:val="22"/>
          <w:szCs w:val="22"/>
        </w:rPr>
      </w:pPr>
      <w:r w:rsidRPr="00B31D10">
        <w:rPr>
          <w:rFonts w:asciiTheme="minorHAnsi" w:hAnsiTheme="minorHAnsi" w:cstheme="minorHAnsi"/>
          <w:color w:val="auto"/>
          <w:sz w:val="22"/>
          <w:szCs w:val="22"/>
        </w:rPr>
        <w:t xml:space="preserve">Le cabinet </w:t>
      </w:r>
      <w:proofErr w:type="spellStart"/>
      <w:r w:rsidRPr="00B31D10">
        <w:rPr>
          <w:rFonts w:asciiTheme="minorHAnsi" w:hAnsiTheme="minorHAnsi" w:cstheme="minorHAnsi"/>
          <w:color w:val="auto"/>
          <w:sz w:val="22"/>
          <w:szCs w:val="22"/>
        </w:rPr>
        <w:t>ASEA</w:t>
      </w:r>
      <w:proofErr w:type="spellEnd"/>
      <w:r w:rsidRPr="00B31D10">
        <w:rPr>
          <w:rFonts w:asciiTheme="minorHAnsi" w:hAnsiTheme="minorHAnsi" w:cstheme="minorHAnsi"/>
          <w:color w:val="auto"/>
          <w:sz w:val="22"/>
          <w:szCs w:val="22"/>
        </w:rPr>
        <w:t xml:space="preserve"> </w:t>
      </w:r>
      <w:r w:rsidR="007E22F7" w:rsidRPr="00B31D10">
        <w:rPr>
          <w:rFonts w:asciiTheme="minorHAnsi" w:hAnsiTheme="minorHAnsi" w:cstheme="minorHAnsi"/>
          <w:color w:val="auto"/>
          <w:sz w:val="22"/>
          <w:szCs w:val="22"/>
        </w:rPr>
        <w:t xml:space="preserve">(cabinet </w:t>
      </w:r>
      <w:r w:rsidR="004118C5" w:rsidRPr="00B31D10">
        <w:rPr>
          <w:rFonts w:asciiTheme="minorHAnsi" w:hAnsiTheme="minorHAnsi" w:cstheme="minorHAnsi"/>
          <w:color w:val="auto"/>
          <w:sz w:val="22"/>
          <w:szCs w:val="22"/>
        </w:rPr>
        <w:t>cotraitant</w:t>
      </w:r>
      <w:r w:rsidR="007E22F7" w:rsidRPr="00B31D10">
        <w:rPr>
          <w:rFonts w:asciiTheme="minorHAnsi" w:hAnsiTheme="minorHAnsi" w:cstheme="minorHAnsi"/>
          <w:color w:val="auto"/>
          <w:sz w:val="22"/>
          <w:szCs w:val="22"/>
        </w:rPr>
        <w:t xml:space="preserve"> d’avocats) </w:t>
      </w:r>
      <w:r w:rsidRPr="00B31D10">
        <w:rPr>
          <w:rFonts w:asciiTheme="minorHAnsi" w:hAnsiTheme="minorHAnsi" w:cstheme="minorHAnsi"/>
          <w:color w:val="auto"/>
          <w:sz w:val="22"/>
          <w:szCs w:val="22"/>
        </w:rPr>
        <w:t xml:space="preserve">balayera l’ensemble de la réglementation incitant : </w:t>
      </w:r>
    </w:p>
    <w:p w:rsidR="004274AB" w:rsidRPr="00B31D10" w:rsidRDefault="004274AB" w:rsidP="00D33B03">
      <w:pPr>
        <w:pStyle w:val="Default"/>
        <w:rPr>
          <w:rFonts w:asciiTheme="minorHAnsi" w:hAnsiTheme="minorHAnsi" w:cstheme="minorHAnsi"/>
          <w:color w:val="auto"/>
          <w:sz w:val="22"/>
          <w:szCs w:val="22"/>
        </w:rPr>
      </w:pPr>
    </w:p>
    <w:p w:rsidR="00D33B03" w:rsidRPr="00B31D10" w:rsidRDefault="00D33B03" w:rsidP="007E22F7">
      <w:pPr>
        <w:pStyle w:val="Default"/>
        <w:numPr>
          <w:ilvl w:val="0"/>
          <w:numId w:val="28"/>
        </w:numPr>
        <w:spacing w:after="222"/>
        <w:jc w:val="both"/>
        <w:rPr>
          <w:rFonts w:asciiTheme="minorHAnsi" w:hAnsiTheme="minorHAnsi" w:cstheme="minorHAnsi"/>
          <w:color w:val="auto"/>
          <w:sz w:val="22"/>
          <w:szCs w:val="22"/>
        </w:rPr>
      </w:pPr>
      <w:r w:rsidRPr="00B31D10">
        <w:rPr>
          <w:rFonts w:asciiTheme="minorHAnsi" w:hAnsiTheme="minorHAnsi" w:cstheme="minorHAnsi"/>
          <w:color w:val="auto"/>
          <w:sz w:val="22"/>
          <w:szCs w:val="22"/>
        </w:rPr>
        <w:t xml:space="preserve">à la limitation de la consommation foncière et l’étalement urbain, en lien notamment avec les Scot(s) sur lesquelles le Cabinet travaille régulièrement pour leurs élaborations, leurs validations, leurs </w:t>
      </w:r>
      <w:r w:rsidR="00280D92">
        <w:rPr>
          <w:rFonts w:asciiTheme="minorHAnsi" w:hAnsiTheme="minorHAnsi" w:cstheme="minorHAnsi"/>
          <w:color w:val="auto"/>
          <w:sz w:val="22"/>
          <w:szCs w:val="22"/>
        </w:rPr>
        <w:t>modifications…</w:t>
      </w:r>
    </w:p>
    <w:p w:rsidR="00D33B03" w:rsidRPr="00B31D10" w:rsidRDefault="000A26BD" w:rsidP="007E22F7">
      <w:pPr>
        <w:pStyle w:val="Default"/>
        <w:numPr>
          <w:ilvl w:val="0"/>
          <w:numId w:val="28"/>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à « refaire la ville sur elle-même » et à la </w:t>
      </w:r>
      <w:r w:rsidR="00D33B03" w:rsidRPr="00B31D10">
        <w:rPr>
          <w:rFonts w:asciiTheme="minorHAnsi" w:hAnsiTheme="minorHAnsi" w:cstheme="minorHAnsi"/>
          <w:color w:val="auto"/>
          <w:sz w:val="22"/>
          <w:szCs w:val="22"/>
        </w:rPr>
        <w:t>densification des constructions</w:t>
      </w:r>
      <w:r w:rsidR="003475DE">
        <w:rPr>
          <w:rFonts w:asciiTheme="minorHAnsi" w:hAnsiTheme="minorHAnsi" w:cstheme="minorHAnsi"/>
          <w:color w:val="auto"/>
          <w:sz w:val="22"/>
          <w:szCs w:val="22"/>
        </w:rPr>
        <w:t xml:space="preserve"> en</w:t>
      </w:r>
      <w:r>
        <w:rPr>
          <w:rFonts w:asciiTheme="minorHAnsi" w:hAnsiTheme="minorHAnsi" w:cstheme="minorHAnsi"/>
          <w:color w:val="auto"/>
          <w:sz w:val="22"/>
          <w:szCs w:val="22"/>
        </w:rPr>
        <w:t xml:space="preserve"> tissu existant (loi Grenelle </w:t>
      </w:r>
      <w:proofErr w:type="gramStart"/>
      <w:r>
        <w:rPr>
          <w:rFonts w:asciiTheme="minorHAnsi" w:hAnsiTheme="minorHAnsi" w:cstheme="minorHAnsi"/>
          <w:color w:val="auto"/>
          <w:sz w:val="22"/>
          <w:szCs w:val="22"/>
        </w:rPr>
        <w:t>2 ,</w:t>
      </w:r>
      <w:proofErr w:type="gramEnd"/>
      <w:r>
        <w:rPr>
          <w:rFonts w:asciiTheme="minorHAnsi" w:hAnsiTheme="minorHAnsi" w:cstheme="minorHAnsi"/>
          <w:color w:val="auto"/>
          <w:sz w:val="22"/>
          <w:szCs w:val="22"/>
        </w:rPr>
        <w:t xml:space="preserve"> loi </w:t>
      </w:r>
      <w:proofErr w:type="spellStart"/>
      <w:r>
        <w:rPr>
          <w:rFonts w:asciiTheme="minorHAnsi" w:hAnsiTheme="minorHAnsi" w:cstheme="minorHAnsi"/>
          <w:color w:val="auto"/>
          <w:sz w:val="22"/>
          <w:szCs w:val="22"/>
        </w:rPr>
        <w:t>ALUR</w:t>
      </w:r>
      <w:proofErr w:type="spellEnd"/>
      <w:r>
        <w:rPr>
          <w:rFonts w:asciiTheme="minorHAnsi" w:hAnsiTheme="minorHAnsi" w:cstheme="minorHAnsi"/>
          <w:color w:val="auto"/>
          <w:sz w:val="22"/>
          <w:szCs w:val="22"/>
        </w:rPr>
        <w:t>, ordonnances, projets de loi…)</w:t>
      </w:r>
      <w:r w:rsidR="00D33B03" w:rsidRPr="00B31D1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mais aussi </w:t>
      </w:r>
      <w:r w:rsidR="00D33B03" w:rsidRPr="00B31D10">
        <w:rPr>
          <w:rFonts w:asciiTheme="minorHAnsi" w:hAnsiTheme="minorHAnsi" w:cstheme="minorHAnsi"/>
          <w:color w:val="auto"/>
          <w:sz w:val="22"/>
          <w:szCs w:val="22"/>
        </w:rPr>
        <w:t>en lien avec l’élaboration, la modification ou la ré</w:t>
      </w:r>
      <w:r w:rsidR="00A85CF9">
        <w:rPr>
          <w:rFonts w:asciiTheme="minorHAnsi" w:hAnsiTheme="minorHAnsi" w:cstheme="minorHAnsi"/>
          <w:color w:val="auto"/>
          <w:sz w:val="22"/>
          <w:szCs w:val="22"/>
        </w:rPr>
        <w:t>vision des PLU auxquels</w:t>
      </w:r>
      <w:r w:rsidR="00D33B03" w:rsidRPr="00B31D10">
        <w:rPr>
          <w:rFonts w:asciiTheme="minorHAnsi" w:hAnsiTheme="minorHAnsi" w:cstheme="minorHAnsi"/>
          <w:color w:val="auto"/>
          <w:sz w:val="22"/>
          <w:szCs w:val="22"/>
        </w:rPr>
        <w:t xml:space="preserve"> le cabinet participe (notamment sur les PLU de type « Grenelle II »)</w:t>
      </w:r>
      <w:r w:rsidR="00EF1248">
        <w:rPr>
          <w:rFonts w:asciiTheme="minorHAnsi" w:hAnsiTheme="minorHAnsi" w:cstheme="minorHAnsi"/>
          <w:color w:val="auto"/>
          <w:sz w:val="22"/>
          <w:szCs w:val="22"/>
        </w:rPr>
        <w:t xml:space="preserve"> </w:t>
      </w:r>
      <w:r w:rsidR="00D33B03" w:rsidRPr="00B31D10">
        <w:rPr>
          <w:rFonts w:asciiTheme="minorHAnsi" w:hAnsiTheme="minorHAnsi" w:cstheme="minorHAnsi"/>
          <w:color w:val="auto"/>
          <w:sz w:val="22"/>
          <w:szCs w:val="22"/>
        </w:rPr>
        <w:t xml:space="preserve">. </w:t>
      </w:r>
    </w:p>
    <w:p w:rsidR="00D33B03" w:rsidRPr="00B31D10" w:rsidRDefault="00D33B03" w:rsidP="00D33B03">
      <w:pPr>
        <w:pStyle w:val="Default"/>
        <w:rPr>
          <w:rFonts w:asciiTheme="minorHAnsi" w:hAnsiTheme="minorHAnsi"/>
          <w:sz w:val="22"/>
          <w:szCs w:val="22"/>
        </w:rPr>
      </w:pPr>
    </w:p>
    <w:p w:rsidR="0096504A" w:rsidRPr="00B31D10" w:rsidRDefault="00A85CF9" w:rsidP="007E22F7">
      <w:pPr>
        <w:pStyle w:val="Default"/>
        <w:jc w:val="both"/>
        <w:rPr>
          <w:rFonts w:asciiTheme="minorHAnsi" w:hAnsiTheme="minorHAnsi"/>
          <w:sz w:val="22"/>
          <w:szCs w:val="22"/>
        </w:rPr>
      </w:pPr>
      <w:proofErr w:type="spellStart"/>
      <w:r>
        <w:rPr>
          <w:rFonts w:asciiTheme="minorHAnsi" w:hAnsiTheme="minorHAnsi"/>
          <w:sz w:val="22"/>
          <w:szCs w:val="22"/>
        </w:rPr>
        <w:t>Il</w:t>
      </w:r>
      <w:r w:rsidR="00D33B03" w:rsidRPr="00B31D10">
        <w:rPr>
          <w:rFonts w:asciiTheme="minorHAnsi" w:hAnsiTheme="minorHAnsi"/>
          <w:sz w:val="22"/>
          <w:szCs w:val="22"/>
        </w:rPr>
        <w:t>s’agira</w:t>
      </w:r>
      <w:proofErr w:type="spellEnd"/>
      <w:r w:rsidR="00D33B03" w:rsidRPr="00B31D10">
        <w:rPr>
          <w:rFonts w:asciiTheme="minorHAnsi" w:hAnsiTheme="minorHAnsi"/>
          <w:sz w:val="22"/>
          <w:szCs w:val="22"/>
        </w:rPr>
        <w:t xml:space="preserve"> de balayer l’ensemble de la réglementation susceptible d’impacter la production de log</w:t>
      </w:r>
      <w:r w:rsidR="009B3B2E" w:rsidRPr="00B31D10">
        <w:rPr>
          <w:rFonts w:asciiTheme="minorHAnsi" w:hAnsiTheme="minorHAnsi"/>
          <w:sz w:val="22"/>
          <w:szCs w:val="22"/>
        </w:rPr>
        <w:t>ement</w:t>
      </w:r>
      <w:r>
        <w:rPr>
          <w:rFonts w:asciiTheme="minorHAnsi" w:hAnsiTheme="minorHAnsi"/>
          <w:sz w:val="22"/>
          <w:szCs w:val="22"/>
        </w:rPr>
        <w:t>s</w:t>
      </w:r>
      <w:r w:rsidR="009B3B2E" w:rsidRPr="00B31D10">
        <w:rPr>
          <w:rFonts w:asciiTheme="minorHAnsi" w:hAnsiTheme="minorHAnsi"/>
          <w:sz w:val="22"/>
          <w:szCs w:val="22"/>
        </w:rPr>
        <w:t xml:space="preserve"> en tissu urbain existant en particulier </w:t>
      </w:r>
      <w:r w:rsidR="00D33B03" w:rsidRPr="00B31D10">
        <w:rPr>
          <w:rFonts w:asciiTheme="minorHAnsi" w:hAnsiTheme="minorHAnsi"/>
          <w:sz w:val="22"/>
          <w:szCs w:val="22"/>
        </w:rPr>
        <w:t xml:space="preserve">les opérations </w:t>
      </w:r>
      <w:r w:rsidR="009B3B2E" w:rsidRPr="00B31D10">
        <w:rPr>
          <w:rFonts w:asciiTheme="minorHAnsi" w:hAnsiTheme="minorHAnsi"/>
          <w:sz w:val="22"/>
          <w:szCs w:val="22"/>
        </w:rPr>
        <w:t>de</w:t>
      </w:r>
      <w:r w:rsidR="00D33B03" w:rsidRPr="00B31D10">
        <w:rPr>
          <w:rFonts w:asciiTheme="minorHAnsi" w:hAnsiTheme="minorHAnsi"/>
          <w:sz w:val="22"/>
          <w:szCs w:val="22"/>
        </w:rPr>
        <w:t xml:space="preserve"> logement social, leurs atouts ou au contraire leurs contraintes par rapport aux autres opérations. </w:t>
      </w:r>
      <w:r w:rsidR="00AD00AE">
        <w:rPr>
          <w:rFonts w:asciiTheme="minorHAnsi" w:hAnsiTheme="minorHAnsi"/>
          <w:sz w:val="22"/>
          <w:szCs w:val="22"/>
        </w:rPr>
        <w:t xml:space="preserve">Cette mise en perspective inclura par </w:t>
      </w:r>
      <w:proofErr w:type="spellStart"/>
      <w:r w:rsidR="00AD00AE">
        <w:rPr>
          <w:rFonts w:asciiTheme="minorHAnsi" w:hAnsiTheme="minorHAnsi"/>
          <w:sz w:val="22"/>
          <w:szCs w:val="22"/>
        </w:rPr>
        <w:t>exemble</w:t>
      </w:r>
      <w:proofErr w:type="spellEnd"/>
      <w:r w:rsidR="00AD00AE">
        <w:rPr>
          <w:rFonts w:asciiTheme="minorHAnsi" w:hAnsiTheme="minorHAnsi"/>
          <w:sz w:val="22"/>
          <w:szCs w:val="22"/>
        </w:rPr>
        <w:t xml:space="preserve"> les possibilités de dérogation aux documents d’urbanisme introduites par les lois et ordonnances récentes ou au stade de projet. </w:t>
      </w:r>
      <w:r w:rsidR="007E22F7" w:rsidRPr="00B31D10">
        <w:rPr>
          <w:rFonts w:asciiTheme="minorHAnsi" w:hAnsiTheme="minorHAnsi"/>
          <w:sz w:val="22"/>
          <w:szCs w:val="22"/>
        </w:rPr>
        <w:t>L’objectif</w:t>
      </w:r>
      <w:r w:rsidR="00D33B03" w:rsidRPr="00B31D10">
        <w:rPr>
          <w:rFonts w:asciiTheme="minorHAnsi" w:hAnsiTheme="minorHAnsi"/>
          <w:sz w:val="22"/>
          <w:szCs w:val="22"/>
        </w:rPr>
        <w:t xml:space="preserve"> </w:t>
      </w:r>
      <w:r w:rsidR="007E22F7" w:rsidRPr="00B31D10">
        <w:rPr>
          <w:rFonts w:asciiTheme="minorHAnsi" w:hAnsiTheme="minorHAnsi"/>
          <w:sz w:val="22"/>
          <w:szCs w:val="22"/>
        </w:rPr>
        <w:t xml:space="preserve">de cette </w:t>
      </w:r>
      <w:r w:rsidR="00D33B03" w:rsidRPr="00B31D10">
        <w:rPr>
          <w:rFonts w:asciiTheme="minorHAnsi" w:hAnsiTheme="minorHAnsi"/>
          <w:sz w:val="22"/>
          <w:szCs w:val="22"/>
        </w:rPr>
        <w:t xml:space="preserve">note claire, concise et pédagogique </w:t>
      </w:r>
      <w:r w:rsidR="007E22F7" w:rsidRPr="00B31D10">
        <w:rPr>
          <w:rFonts w:asciiTheme="minorHAnsi" w:hAnsiTheme="minorHAnsi"/>
          <w:sz w:val="22"/>
          <w:szCs w:val="22"/>
        </w:rPr>
        <w:t>sera</w:t>
      </w:r>
      <w:r w:rsidR="00AD00AE">
        <w:rPr>
          <w:rFonts w:asciiTheme="minorHAnsi" w:hAnsiTheme="minorHAnsi"/>
          <w:sz w:val="22"/>
          <w:szCs w:val="22"/>
        </w:rPr>
        <w:t xml:space="preserve"> de bien exposer</w:t>
      </w:r>
      <w:r w:rsidR="00D33B03" w:rsidRPr="00B31D10">
        <w:rPr>
          <w:rFonts w:asciiTheme="minorHAnsi" w:hAnsiTheme="minorHAnsi"/>
          <w:sz w:val="22"/>
          <w:szCs w:val="22"/>
        </w:rPr>
        <w:t xml:space="preserve"> dans quel contexte réglementaire </w:t>
      </w:r>
      <w:r w:rsidR="007E22F7" w:rsidRPr="00B31D10">
        <w:rPr>
          <w:rFonts w:asciiTheme="minorHAnsi" w:hAnsiTheme="minorHAnsi"/>
          <w:sz w:val="22"/>
          <w:szCs w:val="22"/>
        </w:rPr>
        <w:t xml:space="preserve">sont élaborées </w:t>
      </w:r>
      <w:r>
        <w:rPr>
          <w:rFonts w:asciiTheme="minorHAnsi" w:hAnsiTheme="minorHAnsi"/>
          <w:sz w:val="22"/>
          <w:szCs w:val="22"/>
        </w:rPr>
        <w:t>les opérations référentes.</w:t>
      </w:r>
    </w:p>
    <w:p w:rsidR="007E22F7" w:rsidRDefault="007E22F7" w:rsidP="007E22F7">
      <w:pPr>
        <w:pStyle w:val="Default"/>
      </w:pPr>
    </w:p>
    <w:p w:rsidR="007E22F7" w:rsidRPr="007E22F7" w:rsidRDefault="007E22F7" w:rsidP="009B3B2E">
      <w:pPr>
        <w:pStyle w:val="Default"/>
        <w:rPr>
          <w:b/>
          <w:sz w:val="20"/>
          <w:szCs w:val="20"/>
        </w:rPr>
      </w:pPr>
      <w:r w:rsidRPr="007E22F7">
        <w:rPr>
          <w:b/>
          <w:sz w:val="20"/>
          <w:szCs w:val="20"/>
        </w:rPr>
        <w:t xml:space="preserve">Elaboration d’une typologie d’intervention en tissu urbain existant </w:t>
      </w:r>
    </w:p>
    <w:p w:rsidR="007E22F7" w:rsidRPr="00B31D10" w:rsidRDefault="00280D92" w:rsidP="007E22F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En lien étroit avec ses deux autres </w:t>
      </w:r>
      <w:proofErr w:type="gramStart"/>
      <w:r>
        <w:rPr>
          <w:rFonts w:asciiTheme="minorHAnsi" w:hAnsiTheme="minorHAnsi" w:cstheme="minorHAnsi"/>
          <w:color w:val="auto"/>
          <w:sz w:val="22"/>
          <w:szCs w:val="22"/>
        </w:rPr>
        <w:t xml:space="preserve">cotraitants </w:t>
      </w:r>
      <w:r w:rsidR="007E22F7" w:rsidRPr="00B31D10">
        <w:rPr>
          <w:rFonts w:asciiTheme="minorHAnsi" w:hAnsiTheme="minorHAnsi" w:cstheme="minorHAnsi"/>
          <w:color w:val="auto"/>
          <w:sz w:val="22"/>
          <w:szCs w:val="22"/>
        </w:rPr>
        <w:t>,</w:t>
      </w:r>
      <w:proofErr w:type="gramEnd"/>
      <w:r w:rsidR="007E22F7" w:rsidRPr="00B31D10">
        <w:rPr>
          <w:rFonts w:asciiTheme="minorHAnsi" w:hAnsiTheme="minorHAnsi" w:cstheme="minorHAnsi"/>
          <w:color w:val="auto"/>
          <w:sz w:val="22"/>
          <w:szCs w:val="22"/>
        </w:rPr>
        <w:t xml:space="preserve"> Adéquation assistera les services de l’USH et de la CDC pour élaborer une « typologie » des opérations pouvant entrer dans le champ de l’étude afin de : </w:t>
      </w:r>
    </w:p>
    <w:p w:rsidR="007E22F7" w:rsidRPr="00B31D10" w:rsidRDefault="007E22F7" w:rsidP="00280D92">
      <w:pPr>
        <w:pStyle w:val="Default"/>
        <w:numPr>
          <w:ilvl w:val="0"/>
          <w:numId w:val="28"/>
        </w:numPr>
        <w:rPr>
          <w:rFonts w:asciiTheme="minorHAnsi" w:hAnsiTheme="minorHAnsi" w:cstheme="minorHAnsi"/>
          <w:color w:val="auto"/>
          <w:sz w:val="22"/>
          <w:szCs w:val="22"/>
        </w:rPr>
      </w:pPr>
      <w:r w:rsidRPr="00B31D10">
        <w:rPr>
          <w:rFonts w:asciiTheme="minorHAnsi" w:hAnsiTheme="minorHAnsi" w:cstheme="minorHAnsi"/>
          <w:color w:val="auto"/>
          <w:sz w:val="22"/>
          <w:szCs w:val="22"/>
        </w:rPr>
        <w:t xml:space="preserve"> lancer les enquêtes par l’USH auprès de l’ensemble des organismes HLM pour repérer des réalisations significatives de chaque type ; </w:t>
      </w:r>
    </w:p>
    <w:p w:rsidR="007E22F7" w:rsidRPr="00B31D10" w:rsidRDefault="00593CEE" w:rsidP="00280D92">
      <w:pPr>
        <w:pStyle w:val="Default"/>
        <w:numPr>
          <w:ilvl w:val="0"/>
          <w:numId w:val="28"/>
        </w:numPr>
        <w:rPr>
          <w:rFonts w:asciiTheme="minorHAnsi" w:hAnsiTheme="minorHAnsi" w:cstheme="minorHAnsi"/>
          <w:color w:val="auto"/>
          <w:sz w:val="22"/>
          <w:szCs w:val="22"/>
        </w:rPr>
      </w:pPr>
      <w:r>
        <w:rPr>
          <w:rFonts w:asciiTheme="minorHAnsi" w:hAnsiTheme="minorHAnsi" w:cstheme="minorHAnsi"/>
          <w:color w:val="auto"/>
          <w:sz w:val="22"/>
          <w:szCs w:val="22"/>
        </w:rPr>
        <w:t xml:space="preserve">analyser et </w:t>
      </w:r>
      <w:r w:rsidR="007E22F7" w:rsidRPr="00B31D10">
        <w:rPr>
          <w:rFonts w:asciiTheme="minorHAnsi" w:hAnsiTheme="minorHAnsi" w:cstheme="minorHAnsi"/>
          <w:color w:val="auto"/>
          <w:sz w:val="22"/>
          <w:szCs w:val="22"/>
        </w:rPr>
        <w:t xml:space="preserve"> dégager les opérations potentiellement intéressantes par type ; </w:t>
      </w:r>
    </w:p>
    <w:p w:rsidR="007E22F7" w:rsidRPr="00B31D10" w:rsidRDefault="007E22F7" w:rsidP="00280D92">
      <w:pPr>
        <w:pStyle w:val="Default"/>
        <w:numPr>
          <w:ilvl w:val="0"/>
          <w:numId w:val="28"/>
        </w:numPr>
        <w:rPr>
          <w:rFonts w:asciiTheme="minorHAnsi" w:hAnsiTheme="minorHAnsi" w:cstheme="minorHAnsi"/>
          <w:color w:val="auto"/>
          <w:sz w:val="22"/>
          <w:szCs w:val="22"/>
        </w:rPr>
      </w:pPr>
      <w:r w:rsidRPr="00B31D10">
        <w:rPr>
          <w:rFonts w:asciiTheme="minorHAnsi" w:hAnsiTheme="minorHAnsi" w:cstheme="minorHAnsi"/>
          <w:color w:val="auto"/>
          <w:sz w:val="22"/>
          <w:szCs w:val="22"/>
        </w:rPr>
        <w:t xml:space="preserve">sélectionner les 12 opérations référentes ; </w:t>
      </w:r>
    </w:p>
    <w:p w:rsidR="007E22F7" w:rsidRPr="00B31D10" w:rsidRDefault="007E22F7" w:rsidP="00280D92">
      <w:pPr>
        <w:pStyle w:val="Default"/>
        <w:numPr>
          <w:ilvl w:val="0"/>
          <w:numId w:val="28"/>
        </w:numPr>
        <w:rPr>
          <w:rFonts w:asciiTheme="minorHAnsi" w:hAnsiTheme="minorHAnsi" w:cstheme="minorHAnsi"/>
          <w:color w:val="auto"/>
          <w:sz w:val="22"/>
          <w:szCs w:val="22"/>
        </w:rPr>
      </w:pPr>
      <w:r w:rsidRPr="00B31D10">
        <w:rPr>
          <w:rFonts w:asciiTheme="minorHAnsi" w:hAnsiTheme="minorHAnsi" w:cstheme="minorHAnsi"/>
          <w:color w:val="auto"/>
          <w:sz w:val="22"/>
          <w:szCs w:val="22"/>
        </w:rPr>
        <w:t xml:space="preserve">organiser la rédaction du Cahier d’ « Actualités habitat ». </w:t>
      </w:r>
    </w:p>
    <w:p w:rsidR="009B3B2E" w:rsidRPr="00B31D10" w:rsidRDefault="009B3B2E" w:rsidP="00B31D10">
      <w:pPr>
        <w:pStyle w:val="Default"/>
        <w:rPr>
          <w:rFonts w:asciiTheme="minorHAnsi" w:hAnsiTheme="minorHAnsi" w:cstheme="minorHAnsi"/>
          <w:color w:val="auto"/>
          <w:sz w:val="22"/>
          <w:szCs w:val="22"/>
        </w:rPr>
      </w:pPr>
    </w:p>
    <w:p w:rsidR="009B3B2E" w:rsidRPr="00B31D10" w:rsidRDefault="00593CEE" w:rsidP="00B31D10">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Afin d’éviter des réponses</w:t>
      </w:r>
      <w:r w:rsidR="009B3B2E" w:rsidRPr="00B31D10">
        <w:rPr>
          <w:rFonts w:asciiTheme="minorHAnsi" w:hAnsiTheme="minorHAnsi" w:cstheme="minorHAnsi"/>
          <w:color w:val="auto"/>
          <w:sz w:val="22"/>
          <w:szCs w:val="22"/>
        </w:rPr>
        <w:t xml:space="preserve"> trop importantes à gérer aux regards des délais de l’étude, l’enquête peut demander 1 ou 2 opérations max</w:t>
      </w:r>
      <w:r>
        <w:rPr>
          <w:rFonts w:asciiTheme="minorHAnsi" w:hAnsiTheme="minorHAnsi" w:cstheme="minorHAnsi"/>
          <w:color w:val="auto"/>
          <w:sz w:val="22"/>
          <w:szCs w:val="22"/>
        </w:rPr>
        <w:t>imum particulièrement représentatives, pour chaque</w:t>
      </w:r>
      <w:r w:rsidR="009B3B2E" w:rsidRPr="00B31D10">
        <w:rPr>
          <w:rFonts w:asciiTheme="minorHAnsi" w:hAnsiTheme="minorHAnsi" w:cstheme="minorHAnsi"/>
          <w:color w:val="auto"/>
          <w:sz w:val="22"/>
          <w:szCs w:val="22"/>
        </w:rPr>
        <w:t xml:space="preserve"> catégorie</w:t>
      </w:r>
      <w:r>
        <w:rPr>
          <w:rFonts w:asciiTheme="minorHAnsi" w:hAnsiTheme="minorHAnsi" w:cstheme="minorHAnsi"/>
          <w:color w:val="auto"/>
          <w:sz w:val="22"/>
          <w:szCs w:val="22"/>
        </w:rPr>
        <w:t xml:space="preserve">, </w:t>
      </w:r>
      <w:r w:rsidR="009B3B2E" w:rsidRPr="00B31D10">
        <w:rPr>
          <w:rFonts w:asciiTheme="minorHAnsi" w:hAnsiTheme="minorHAnsi" w:cstheme="minorHAnsi"/>
          <w:color w:val="auto"/>
          <w:sz w:val="22"/>
          <w:szCs w:val="22"/>
        </w:rPr>
        <w:t xml:space="preserve"> aux organismes HLM.</w:t>
      </w:r>
    </w:p>
    <w:p w:rsidR="009B3B2E" w:rsidRDefault="009B3B2E" w:rsidP="009B3B2E">
      <w:pPr>
        <w:pStyle w:val="Default"/>
        <w:rPr>
          <w:b/>
          <w:sz w:val="20"/>
          <w:szCs w:val="20"/>
        </w:rPr>
      </w:pPr>
    </w:p>
    <w:p w:rsidR="009B3B2E" w:rsidRPr="009B3B2E" w:rsidRDefault="009B3B2E" w:rsidP="009B3B2E">
      <w:pPr>
        <w:pStyle w:val="Default"/>
        <w:rPr>
          <w:b/>
          <w:sz w:val="20"/>
          <w:szCs w:val="20"/>
        </w:rPr>
      </w:pPr>
      <w:r w:rsidRPr="009B3B2E">
        <w:rPr>
          <w:b/>
          <w:sz w:val="20"/>
          <w:szCs w:val="20"/>
        </w:rPr>
        <w:t xml:space="preserve">Premiers entretiens de sélection et base documentaire </w:t>
      </w:r>
    </w:p>
    <w:p w:rsidR="003820B9" w:rsidRPr="00B31D10" w:rsidRDefault="003820B9" w:rsidP="00B31D10">
      <w:pPr>
        <w:pStyle w:val="Default"/>
        <w:jc w:val="both"/>
        <w:rPr>
          <w:rFonts w:asciiTheme="minorHAnsi" w:hAnsiTheme="minorHAnsi" w:cstheme="minorHAnsi"/>
          <w:color w:val="auto"/>
          <w:sz w:val="22"/>
          <w:szCs w:val="22"/>
        </w:rPr>
      </w:pPr>
      <w:r w:rsidRPr="00B31D10">
        <w:rPr>
          <w:rFonts w:asciiTheme="minorHAnsi" w:hAnsiTheme="minorHAnsi" w:cstheme="minorHAnsi"/>
          <w:color w:val="auto"/>
          <w:sz w:val="22"/>
          <w:szCs w:val="22"/>
        </w:rPr>
        <w:t>Adéquation dirigera les entre</w:t>
      </w:r>
      <w:r w:rsidR="00F40441" w:rsidRPr="00B31D10">
        <w:rPr>
          <w:rFonts w:asciiTheme="minorHAnsi" w:hAnsiTheme="minorHAnsi" w:cstheme="minorHAnsi"/>
          <w:color w:val="auto"/>
          <w:sz w:val="22"/>
          <w:szCs w:val="22"/>
        </w:rPr>
        <w:t>tiens téléphoniques avec les maî</w:t>
      </w:r>
      <w:r w:rsidRPr="00B31D10">
        <w:rPr>
          <w:rFonts w:asciiTheme="minorHAnsi" w:hAnsiTheme="minorHAnsi" w:cstheme="minorHAnsi"/>
          <w:color w:val="auto"/>
          <w:sz w:val="22"/>
          <w:szCs w:val="22"/>
        </w:rPr>
        <w:t>tres d’ouvrages concernés par le « premier tri »</w:t>
      </w:r>
      <w:r w:rsidR="00AD00AE">
        <w:rPr>
          <w:rFonts w:asciiTheme="minorHAnsi" w:hAnsiTheme="minorHAnsi" w:cstheme="minorHAnsi"/>
          <w:color w:val="auto"/>
          <w:sz w:val="22"/>
          <w:szCs w:val="22"/>
        </w:rPr>
        <w:t xml:space="preserve"> issu de l’enquête ci-dessus. Il</w:t>
      </w:r>
      <w:r w:rsidRPr="00B31D10">
        <w:rPr>
          <w:rFonts w:asciiTheme="minorHAnsi" w:hAnsiTheme="minorHAnsi" w:cstheme="minorHAnsi"/>
          <w:color w:val="auto"/>
          <w:sz w:val="22"/>
          <w:szCs w:val="22"/>
        </w:rPr>
        <w:t xml:space="preserve"> s’appui</w:t>
      </w:r>
      <w:r w:rsidR="00F40441" w:rsidRPr="00B31D10">
        <w:rPr>
          <w:rFonts w:asciiTheme="minorHAnsi" w:hAnsiTheme="minorHAnsi" w:cstheme="minorHAnsi"/>
          <w:color w:val="auto"/>
          <w:sz w:val="22"/>
          <w:szCs w:val="22"/>
        </w:rPr>
        <w:t>era sur l’expertise de Babylone</w:t>
      </w:r>
      <w:r w:rsidR="00A85CF9">
        <w:rPr>
          <w:rFonts w:asciiTheme="minorHAnsi" w:hAnsiTheme="minorHAnsi" w:cstheme="minorHAnsi"/>
          <w:color w:val="auto"/>
          <w:sz w:val="22"/>
          <w:szCs w:val="22"/>
        </w:rPr>
        <w:t xml:space="preserve"> Avenue</w:t>
      </w:r>
      <w:r w:rsidRPr="00B31D10">
        <w:rPr>
          <w:rFonts w:asciiTheme="minorHAnsi" w:hAnsiTheme="minorHAnsi" w:cstheme="minorHAnsi"/>
          <w:color w:val="auto"/>
          <w:sz w:val="22"/>
          <w:szCs w:val="22"/>
        </w:rPr>
        <w:t xml:space="preserve"> </w:t>
      </w:r>
      <w:r w:rsidR="00AD00AE">
        <w:rPr>
          <w:rFonts w:asciiTheme="minorHAnsi" w:hAnsiTheme="minorHAnsi" w:cstheme="minorHAnsi"/>
          <w:color w:val="auto"/>
          <w:sz w:val="22"/>
          <w:szCs w:val="22"/>
        </w:rPr>
        <w:t>(et sur</w:t>
      </w:r>
      <w:r w:rsidR="00A85CF9">
        <w:rPr>
          <w:rFonts w:asciiTheme="minorHAnsi" w:hAnsiTheme="minorHAnsi" w:cstheme="minorHAnsi"/>
          <w:color w:val="auto"/>
          <w:sz w:val="22"/>
          <w:szCs w:val="22"/>
        </w:rPr>
        <w:t xml:space="preserve"> l’apport technique de </w:t>
      </w:r>
      <w:r w:rsidR="00F40441" w:rsidRPr="00B31D10">
        <w:rPr>
          <w:rFonts w:asciiTheme="minorHAnsi" w:hAnsiTheme="minorHAnsi" w:cstheme="minorHAnsi"/>
          <w:color w:val="auto"/>
          <w:sz w:val="22"/>
          <w:szCs w:val="22"/>
        </w:rPr>
        <w:t xml:space="preserve"> </w:t>
      </w:r>
      <w:proofErr w:type="spellStart"/>
      <w:r w:rsidR="00F40441" w:rsidRPr="00B31D10">
        <w:rPr>
          <w:rFonts w:asciiTheme="minorHAnsi" w:hAnsiTheme="minorHAnsi" w:cstheme="minorHAnsi"/>
          <w:color w:val="auto"/>
          <w:sz w:val="22"/>
          <w:szCs w:val="22"/>
        </w:rPr>
        <w:t>REALIS</w:t>
      </w:r>
      <w:proofErr w:type="spellEnd"/>
      <w:r w:rsidR="00F40441" w:rsidRPr="00B31D10">
        <w:rPr>
          <w:rFonts w:asciiTheme="minorHAnsi" w:hAnsiTheme="minorHAnsi" w:cstheme="minorHAnsi"/>
          <w:color w:val="auto"/>
          <w:sz w:val="22"/>
          <w:szCs w:val="22"/>
        </w:rPr>
        <w:t>-MOE</w:t>
      </w:r>
      <w:r w:rsidR="00A85CF9">
        <w:rPr>
          <w:rFonts w:asciiTheme="minorHAnsi" w:hAnsiTheme="minorHAnsi" w:cstheme="minorHAnsi"/>
          <w:color w:val="auto"/>
          <w:sz w:val="22"/>
          <w:szCs w:val="22"/>
        </w:rPr>
        <w:t>)</w:t>
      </w:r>
      <w:r w:rsidR="00F40441" w:rsidRPr="00B31D10">
        <w:rPr>
          <w:rFonts w:asciiTheme="minorHAnsi" w:hAnsiTheme="minorHAnsi" w:cstheme="minorHAnsi"/>
          <w:color w:val="auto"/>
          <w:sz w:val="22"/>
          <w:szCs w:val="22"/>
        </w:rPr>
        <w:t xml:space="preserve"> </w:t>
      </w:r>
      <w:r w:rsidRPr="00B31D10">
        <w:rPr>
          <w:rFonts w:asciiTheme="minorHAnsi" w:hAnsiTheme="minorHAnsi" w:cstheme="minorHAnsi"/>
          <w:color w:val="auto"/>
          <w:sz w:val="22"/>
          <w:szCs w:val="22"/>
        </w:rPr>
        <w:t xml:space="preserve">et </w:t>
      </w:r>
      <w:r w:rsidR="00F40441" w:rsidRPr="00B31D10">
        <w:rPr>
          <w:rFonts w:asciiTheme="minorHAnsi" w:hAnsiTheme="minorHAnsi" w:cstheme="minorHAnsi"/>
          <w:color w:val="auto"/>
          <w:sz w:val="22"/>
          <w:szCs w:val="22"/>
        </w:rPr>
        <w:t>d’</w:t>
      </w:r>
      <w:proofErr w:type="spellStart"/>
      <w:r w:rsidRPr="00B31D10">
        <w:rPr>
          <w:rFonts w:asciiTheme="minorHAnsi" w:hAnsiTheme="minorHAnsi" w:cstheme="minorHAnsi"/>
          <w:color w:val="auto"/>
          <w:sz w:val="22"/>
          <w:szCs w:val="22"/>
        </w:rPr>
        <w:t>ASEA</w:t>
      </w:r>
      <w:proofErr w:type="spellEnd"/>
      <w:r w:rsidRPr="00B31D10">
        <w:rPr>
          <w:rFonts w:asciiTheme="minorHAnsi" w:hAnsiTheme="minorHAnsi" w:cstheme="minorHAnsi"/>
          <w:color w:val="auto"/>
          <w:sz w:val="22"/>
          <w:szCs w:val="22"/>
        </w:rPr>
        <w:t xml:space="preserve"> pour l’aider la constitution d’une « grill</w:t>
      </w:r>
      <w:r w:rsidR="00AD00AE">
        <w:rPr>
          <w:rFonts w:asciiTheme="minorHAnsi" w:hAnsiTheme="minorHAnsi" w:cstheme="minorHAnsi"/>
          <w:color w:val="auto"/>
          <w:sz w:val="22"/>
          <w:szCs w:val="22"/>
        </w:rPr>
        <w:t>e d’analyse multicritères » pour</w:t>
      </w:r>
      <w:r w:rsidRPr="00B31D10">
        <w:rPr>
          <w:rFonts w:asciiTheme="minorHAnsi" w:hAnsiTheme="minorHAnsi" w:cstheme="minorHAnsi"/>
          <w:color w:val="auto"/>
          <w:sz w:val="22"/>
          <w:szCs w:val="22"/>
        </w:rPr>
        <w:t xml:space="preserve"> la sélection des </w:t>
      </w:r>
      <w:proofErr w:type="gramStart"/>
      <w:r w:rsidRPr="00B31D10">
        <w:rPr>
          <w:rFonts w:asciiTheme="minorHAnsi" w:hAnsiTheme="minorHAnsi" w:cstheme="minorHAnsi"/>
          <w:color w:val="auto"/>
          <w:sz w:val="22"/>
          <w:szCs w:val="22"/>
        </w:rPr>
        <w:t>opérations</w:t>
      </w:r>
      <w:r w:rsidR="00AD00AE">
        <w:rPr>
          <w:rFonts w:asciiTheme="minorHAnsi" w:hAnsiTheme="minorHAnsi" w:cstheme="minorHAnsi"/>
          <w:color w:val="auto"/>
          <w:sz w:val="22"/>
          <w:szCs w:val="22"/>
        </w:rPr>
        <w:t xml:space="preserve"> </w:t>
      </w:r>
      <w:r w:rsidRPr="00B31D10">
        <w:rPr>
          <w:rFonts w:asciiTheme="minorHAnsi" w:hAnsiTheme="minorHAnsi" w:cstheme="minorHAnsi"/>
          <w:color w:val="auto"/>
          <w:sz w:val="22"/>
          <w:szCs w:val="22"/>
        </w:rPr>
        <w:t>.</w:t>
      </w:r>
      <w:proofErr w:type="gramEnd"/>
      <w:r w:rsidRPr="00B31D10">
        <w:rPr>
          <w:rFonts w:asciiTheme="minorHAnsi" w:hAnsiTheme="minorHAnsi" w:cstheme="minorHAnsi"/>
          <w:color w:val="auto"/>
          <w:sz w:val="22"/>
          <w:szCs w:val="22"/>
        </w:rPr>
        <w:t xml:space="preserve"> Cet outil d’aide à la décision permettra à la maitrise d’ouvrage de faire le choix des opérations « référentes » à analyser lors du COPIL intermédiaire. </w:t>
      </w:r>
    </w:p>
    <w:p w:rsidR="003820B9" w:rsidRPr="00B31D10" w:rsidRDefault="003820B9" w:rsidP="00B31D10">
      <w:pPr>
        <w:pStyle w:val="Default"/>
        <w:jc w:val="both"/>
        <w:rPr>
          <w:rFonts w:asciiTheme="minorHAnsi" w:hAnsiTheme="minorHAnsi" w:cstheme="minorHAnsi"/>
          <w:color w:val="auto"/>
          <w:sz w:val="22"/>
          <w:szCs w:val="22"/>
        </w:rPr>
      </w:pPr>
    </w:p>
    <w:p w:rsidR="003820B9" w:rsidRPr="00B31D10" w:rsidRDefault="003820B9" w:rsidP="00B31D10">
      <w:pPr>
        <w:pStyle w:val="Default"/>
        <w:jc w:val="both"/>
        <w:rPr>
          <w:rFonts w:asciiTheme="minorHAnsi" w:hAnsiTheme="minorHAnsi" w:cstheme="minorHAnsi"/>
          <w:color w:val="auto"/>
          <w:sz w:val="22"/>
          <w:szCs w:val="22"/>
        </w:rPr>
      </w:pPr>
      <w:r w:rsidRPr="00B31D10">
        <w:rPr>
          <w:rFonts w:asciiTheme="minorHAnsi" w:hAnsiTheme="minorHAnsi" w:cstheme="minorHAnsi"/>
          <w:color w:val="auto"/>
          <w:sz w:val="22"/>
          <w:szCs w:val="22"/>
        </w:rPr>
        <w:t>L’innovation, la réponse au</w:t>
      </w:r>
      <w:r w:rsidR="00593CEE">
        <w:rPr>
          <w:rFonts w:asciiTheme="minorHAnsi" w:hAnsiTheme="minorHAnsi" w:cstheme="minorHAnsi"/>
          <w:color w:val="auto"/>
          <w:sz w:val="22"/>
          <w:szCs w:val="22"/>
        </w:rPr>
        <w:t>x objectifs fixés, la spécificité</w:t>
      </w:r>
      <w:r w:rsidRPr="00B31D10">
        <w:rPr>
          <w:rFonts w:asciiTheme="minorHAnsi" w:hAnsiTheme="minorHAnsi" w:cstheme="minorHAnsi"/>
          <w:color w:val="auto"/>
          <w:sz w:val="22"/>
          <w:szCs w:val="22"/>
        </w:rPr>
        <w:t xml:space="preserve"> du montage, etc. sont autant d</w:t>
      </w:r>
      <w:r w:rsidR="00A85CF9">
        <w:rPr>
          <w:rFonts w:asciiTheme="minorHAnsi" w:hAnsiTheme="minorHAnsi" w:cstheme="minorHAnsi"/>
          <w:color w:val="auto"/>
          <w:sz w:val="22"/>
          <w:szCs w:val="22"/>
        </w:rPr>
        <w:t xml:space="preserve">e critères qui permettront </w:t>
      </w:r>
      <w:r w:rsidRPr="00B31D10">
        <w:rPr>
          <w:rFonts w:asciiTheme="minorHAnsi" w:hAnsiTheme="minorHAnsi" w:cstheme="minorHAnsi"/>
          <w:color w:val="auto"/>
          <w:sz w:val="22"/>
          <w:szCs w:val="22"/>
        </w:rPr>
        <w:t xml:space="preserve">de mettre en lumière des opérations de qualité, diversifiés, et </w:t>
      </w:r>
      <w:r w:rsidR="00280D92">
        <w:rPr>
          <w:rFonts w:asciiTheme="minorHAnsi" w:hAnsiTheme="minorHAnsi" w:cstheme="minorHAnsi"/>
          <w:color w:val="auto"/>
          <w:sz w:val="22"/>
          <w:szCs w:val="22"/>
        </w:rPr>
        <w:t xml:space="preserve"> surtout </w:t>
      </w:r>
      <w:r w:rsidRPr="00B31D10">
        <w:rPr>
          <w:rFonts w:asciiTheme="minorHAnsi" w:hAnsiTheme="minorHAnsi" w:cstheme="minorHAnsi"/>
          <w:color w:val="auto"/>
          <w:sz w:val="22"/>
          <w:szCs w:val="22"/>
        </w:rPr>
        <w:t>reproductible</w:t>
      </w:r>
      <w:r w:rsidR="00280D92">
        <w:rPr>
          <w:rFonts w:asciiTheme="minorHAnsi" w:hAnsiTheme="minorHAnsi" w:cstheme="minorHAnsi"/>
          <w:color w:val="auto"/>
          <w:sz w:val="22"/>
          <w:szCs w:val="22"/>
        </w:rPr>
        <w:t>s</w:t>
      </w:r>
      <w:r w:rsidRPr="00B31D10">
        <w:rPr>
          <w:rFonts w:asciiTheme="minorHAnsi" w:hAnsiTheme="minorHAnsi" w:cstheme="minorHAnsi"/>
          <w:color w:val="auto"/>
          <w:sz w:val="22"/>
          <w:szCs w:val="22"/>
        </w:rPr>
        <w:t xml:space="preserve">. </w:t>
      </w:r>
    </w:p>
    <w:p w:rsidR="008A0E25" w:rsidRPr="000D3E3C" w:rsidRDefault="000D3E3C" w:rsidP="003820B9">
      <w:pPr>
        <w:ind w:left="284"/>
        <w:jc w:val="both"/>
        <w:rPr>
          <w:rFonts w:ascii="Calibri" w:hAnsi="Calibri" w:cs="Calibri"/>
          <w:sz w:val="22"/>
          <w:szCs w:val="22"/>
        </w:rPr>
      </w:pPr>
      <w:r>
        <w:rPr>
          <w:rFonts w:ascii="Calibri" w:hAnsi="Calibri" w:cs="Calibri"/>
          <w:sz w:val="22"/>
          <w:szCs w:val="22"/>
        </w:rPr>
        <w:t xml:space="preserve">       </w:t>
      </w:r>
      <w:r w:rsidRPr="000D3E3C">
        <w:rPr>
          <w:rFonts w:ascii="Calibri" w:hAnsi="Calibri" w:cs="Calibri"/>
          <w:sz w:val="22"/>
          <w:szCs w:val="22"/>
        </w:rPr>
        <w:t xml:space="preserve">               </w:t>
      </w:r>
      <w:r>
        <w:rPr>
          <w:rFonts w:ascii="Calibri" w:hAnsi="Calibri" w:cs="Calibri"/>
          <w:sz w:val="22"/>
          <w:szCs w:val="22"/>
        </w:rPr>
        <w:t xml:space="preserve">     </w:t>
      </w:r>
    </w:p>
    <w:p w:rsidR="003820B9" w:rsidRPr="003820B9" w:rsidRDefault="003820B9" w:rsidP="003820B9">
      <w:pPr>
        <w:pStyle w:val="Default"/>
        <w:numPr>
          <w:ilvl w:val="0"/>
          <w:numId w:val="29"/>
        </w:numPr>
        <w:rPr>
          <w:b/>
          <w:bCs/>
          <w:sz w:val="23"/>
          <w:szCs w:val="23"/>
        </w:rPr>
      </w:pPr>
      <w:r>
        <w:rPr>
          <w:b/>
          <w:bCs/>
          <w:sz w:val="23"/>
          <w:szCs w:val="23"/>
        </w:rPr>
        <w:t xml:space="preserve">Analyse des 12 opérations en « fiche de cas » </w:t>
      </w:r>
    </w:p>
    <w:p w:rsidR="003820B9" w:rsidRDefault="003820B9" w:rsidP="003820B9">
      <w:pPr>
        <w:pStyle w:val="Default"/>
        <w:rPr>
          <w:sz w:val="20"/>
          <w:szCs w:val="20"/>
        </w:rPr>
      </w:pPr>
    </w:p>
    <w:p w:rsidR="003820B9" w:rsidRPr="003820B9" w:rsidRDefault="003820B9" w:rsidP="003820B9">
      <w:pPr>
        <w:pStyle w:val="Default"/>
        <w:rPr>
          <w:b/>
          <w:sz w:val="20"/>
          <w:szCs w:val="20"/>
        </w:rPr>
      </w:pPr>
      <w:r w:rsidRPr="003820B9">
        <w:rPr>
          <w:b/>
          <w:sz w:val="20"/>
          <w:szCs w:val="20"/>
        </w:rPr>
        <w:t xml:space="preserve">Visite de site/d’opération </w:t>
      </w:r>
    </w:p>
    <w:p w:rsidR="005B1DAF" w:rsidRPr="00B31D10" w:rsidRDefault="005B1DAF" w:rsidP="005B1DAF">
      <w:pPr>
        <w:pStyle w:val="Default"/>
        <w:jc w:val="both"/>
        <w:rPr>
          <w:rFonts w:asciiTheme="minorHAnsi" w:hAnsiTheme="minorHAnsi" w:cstheme="minorHAnsi"/>
          <w:color w:val="auto"/>
          <w:sz w:val="22"/>
          <w:szCs w:val="22"/>
        </w:rPr>
      </w:pPr>
      <w:r w:rsidRPr="00B31D10">
        <w:rPr>
          <w:rFonts w:asciiTheme="minorHAnsi" w:hAnsiTheme="minorHAnsi" w:cstheme="minorHAnsi"/>
          <w:color w:val="auto"/>
          <w:sz w:val="22"/>
          <w:szCs w:val="22"/>
        </w:rPr>
        <w:t xml:space="preserve">Les fiches de cas résulteront de visites de sites, entretiens avec les maîtres d’ouvrage Hlm et leur maître d’œuvre,  et le cas échéant  leurs partenaires (collectivité, DDT, </w:t>
      </w:r>
      <w:proofErr w:type="spellStart"/>
      <w:r w:rsidRPr="00B31D10">
        <w:rPr>
          <w:rFonts w:asciiTheme="minorHAnsi" w:hAnsiTheme="minorHAnsi" w:cstheme="minorHAnsi"/>
          <w:color w:val="auto"/>
          <w:sz w:val="22"/>
          <w:szCs w:val="22"/>
        </w:rPr>
        <w:t>EPF</w:t>
      </w:r>
      <w:proofErr w:type="spellEnd"/>
      <w:r w:rsidRPr="00B31D10">
        <w:rPr>
          <w:rFonts w:asciiTheme="minorHAnsi" w:hAnsiTheme="minorHAnsi" w:cstheme="minorHAnsi"/>
          <w:color w:val="auto"/>
          <w:sz w:val="22"/>
          <w:szCs w:val="22"/>
        </w:rPr>
        <w:t xml:space="preserve">, aménageur, partenaire privé…) pour chaque opération étudiée. </w:t>
      </w:r>
      <w:r w:rsidR="003820B9" w:rsidRPr="00B31D10">
        <w:rPr>
          <w:rFonts w:asciiTheme="minorHAnsi" w:hAnsiTheme="minorHAnsi" w:cstheme="minorHAnsi"/>
          <w:color w:val="auto"/>
          <w:sz w:val="22"/>
          <w:szCs w:val="22"/>
        </w:rPr>
        <w:t>Les analyses des opérations seront toutes précédées par une analys</w:t>
      </w:r>
      <w:r w:rsidR="00A85CF9">
        <w:rPr>
          <w:rFonts w:asciiTheme="minorHAnsi" w:hAnsiTheme="minorHAnsi" w:cstheme="minorHAnsi"/>
          <w:color w:val="auto"/>
          <w:sz w:val="22"/>
          <w:szCs w:val="22"/>
        </w:rPr>
        <w:t xml:space="preserve">e de site afin de bien situer l’opération, sa localisation, </w:t>
      </w:r>
      <w:r w:rsidR="003820B9" w:rsidRPr="00B31D10">
        <w:rPr>
          <w:rFonts w:asciiTheme="minorHAnsi" w:hAnsiTheme="minorHAnsi" w:cstheme="minorHAnsi"/>
          <w:color w:val="auto"/>
          <w:sz w:val="22"/>
          <w:szCs w:val="22"/>
        </w:rPr>
        <w:t xml:space="preserve">son environnement. </w:t>
      </w:r>
    </w:p>
    <w:p w:rsidR="005B1DAF" w:rsidRPr="00B31D10" w:rsidRDefault="005B1DAF" w:rsidP="00B31D10">
      <w:pPr>
        <w:pStyle w:val="Default"/>
        <w:jc w:val="both"/>
        <w:rPr>
          <w:rFonts w:asciiTheme="minorHAnsi" w:hAnsiTheme="minorHAnsi" w:cstheme="minorHAnsi"/>
          <w:color w:val="auto"/>
          <w:sz w:val="22"/>
          <w:szCs w:val="22"/>
        </w:rPr>
      </w:pPr>
    </w:p>
    <w:p w:rsidR="003820B9" w:rsidRPr="00B31D10" w:rsidRDefault="003820B9" w:rsidP="005B1DAF">
      <w:pPr>
        <w:pStyle w:val="Default"/>
        <w:jc w:val="both"/>
        <w:rPr>
          <w:rFonts w:asciiTheme="minorHAnsi" w:hAnsiTheme="minorHAnsi" w:cstheme="minorHAnsi"/>
          <w:color w:val="auto"/>
          <w:sz w:val="22"/>
          <w:szCs w:val="22"/>
        </w:rPr>
      </w:pPr>
      <w:r w:rsidRPr="00B31D10">
        <w:rPr>
          <w:rFonts w:asciiTheme="minorHAnsi" w:hAnsiTheme="minorHAnsi" w:cstheme="minorHAnsi"/>
          <w:color w:val="auto"/>
          <w:sz w:val="22"/>
          <w:szCs w:val="22"/>
        </w:rPr>
        <w:t xml:space="preserve">Les visites de site </w:t>
      </w:r>
      <w:r w:rsidR="00A85CF9">
        <w:rPr>
          <w:rFonts w:asciiTheme="minorHAnsi" w:hAnsiTheme="minorHAnsi" w:cstheme="minorHAnsi"/>
          <w:color w:val="auto"/>
          <w:sz w:val="22"/>
          <w:szCs w:val="22"/>
        </w:rPr>
        <w:t xml:space="preserve">seront réalisées </w:t>
      </w:r>
      <w:proofErr w:type="spellStart"/>
      <w:r w:rsidR="00A85CF9">
        <w:rPr>
          <w:rFonts w:asciiTheme="minorHAnsi" w:hAnsiTheme="minorHAnsi" w:cstheme="minorHAnsi"/>
          <w:color w:val="auto"/>
          <w:sz w:val="22"/>
          <w:szCs w:val="22"/>
        </w:rPr>
        <w:t>aves</w:t>
      </w:r>
      <w:proofErr w:type="spellEnd"/>
      <w:r w:rsidR="00A85CF9">
        <w:rPr>
          <w:rFonts w:asciiTheme="minorHAnsi" w:hAnsiTheme="minorHAnsi" w:cstheme="minorHAnsi"/>
          <w:color w:val="auto"/>
          <w:sz w:val="22"/>
          <w:szCs w:val="22"/>
        </w:rPr>
        <w:t xml:space="preserve"> </w:t>
      </w:r>
      <w:r w:rsidR="005B1DAF" w:rsidRPr="00B31D10">
        <w:rPr>
          <w:rFonts w:asciiTheme="minorHAnsi" w:hAnsiTheme="minorHAnsi" w:cstheme="minorHAnsi"/>
          <w:color w:val="auto"/>
          <w:sz w:val="22"/>
          <w:szCs w:val="22"/>
        </w:rPr>
        <w:t>la maî</w:t>
      </w:r>
      <w:r w:rsidRPr="00B31D10">
        <w:rPr>
          <w:rFonts w:asciiTheme="minorHAnsi" w:hAnsiTheme="minorHAnsi" w:cstheme="minorHAnsi"/>
          <w:color w:val="auto"/>
          <w:sz w:val="22"/>
          <w:szCs w:val="22"/>
        </w:rPr>
        <w:t>trise d’ouvrage et/ou la maitrise d’</w:t>
      </w:r>
      <w:r w:rsidR="004118C5" w:rsidRPr="00B31D10">
        <w:rPr>
          <w:rFonts w:asciiTheme="minorHAnsi" w:hAnsiTheme="minorHAnsi" w:cstheme="minorHAnsi"/>
          <w:color w:val="auto"/>
          <w:sz w:val="22"/>
          <w:szCs w:val="22"/>
        </w:rPr>
        <w:t>œuvre</w:t>
      </w:r>
      <w:r w:rsidR="00A85CF9">
        <w:rPr>
          <w:rFonts w:asciiTheme="minorHAnsi" w:hAnsiTheme="minorHAnsi" w:cstheme="minorHAnsi"/>
          <w:color w:val="auto"/>
          <w:sz w:val="22"/>
          <w:szCs w:val="22"/>
        </w:rPr>
        <w:t xml:space="preserve"> de l’opération</w:t>
      </w:r>
      <w:r w:rsidRPr="00B31D10">
        <w:rPr>
          <w:rFonts w:asciiTheme="minorHAnsi" w:hAnsiTheme="minorHAnsi" w:cstheme="minorHAnsi"/>
          <w:color w:val="auto"/>
          <w:sz w:val="22"/>
          <w:szCs w:val="22"/>
        </w:rPr>
        <w:t>. Suivant les opérations, Adéquation et/ou Babylone se rendront à la visite de site. Une méthodologie appropriée sera également à définir avec l’USH et la CDC pour avoir une cohérence dans l’analyse de site des opérations. La mise en place d’une grille de critères à analyser sera ainsi élaborée et des supports de transmission seront égalem</w:t>
      </w:r>
      <w:r w:rsidR="00433835">
        <w:rPr>
          <w:rFonts w:asciiTheme="minorHAnsi" w:hAnsiTheme="minorHAnsi" w:cstheme="minorHAnsi"/>
          <w:color w:val="auto"/>
          <w:sz w:val="22"/>
          <w:szCs w:val="22"/>
        </w:rPr>
        <w:t>ent constitués</w:t>
      </w:r>
      <w:r w:rsidR="00280D92">
        <w:rPr>
          <w:rFonts w:asciiTheme="minorHAnsi" w:hAnsiTheme="minorHAnsi" w:cstheme="minorHAnsi"/>
          <w:color w:val="auto"/>
          <w:sz w:val="22"/>
          <w:szCs w:val="22"/>
        </w:rPr>
        <w:t xml:space="preserve"> (photos, plans</w:t>
      </w:r>
      <w:r w:rsidRPr="00B31D10">
        <w:rPr>
          <w:rFonts w:asciiTheme="minorHAnsi" w:hAnsiTheme="minorHAnsi" w:cstheme="minorHAnsi"/>
          <w:color w:val="auto"/>
          <w:sz w:val="22"/>
          <w:szCs w:val="22"/>
        </w:rPr>
        <w:t xml:space="preserve">, etc.). </w:t>
      </w:r>
    </w:p>
    <w:p w:rsidR="005B1DAF" w:rsidRDefault="005B1DAF" w:rsidP="003820B9">
      <w:pPr>
        <w:pStyle w:val="Default"/>
        <w:rPr>
          <w:sz w:val="20"/>
          <w:szCs w:val="20"/>
        </w:rPr>
      </w:pPr>
    </w:p>
    <w:p w:rsidR="003820B9" w:rsidRPr="003820B9" w:rsidRDefault="003820B9" w:rsidP="003820B9">
      <w:pPr>
        <w:pStyle w:val="Default"/>
        <w:rPr>
          <w:b/>
          <w:sz w:val="20"/>
          <w:szCs w:val="20"/>
        </w:rPr>
      </w:pPr>
      <w:r w:rsidRPr="003820B9">
        <w:rPr>
          <w:b/>
          <w:sz w:val="20"/>
          <w:szCs w:val="20"/>
        </w:rPr>
        <w:t xml:space="preserve">Entretiens </w:t>
      </w:r>
    </w:p>
    <w:p w:rsidR="003820B9" w:rsidRPr="00B31D10" w:rsidRDefault="003820B9" w:rsidP="005B1DAF">
      <w:pPr>
        <w:pStyle w:val="Default"/>
        <w:jc w:val="both"/>
        <w:rPr>
          <w:rFonts w:asciiTheme="minorHAnsi" w:hAnsiTheme="minorHAnsi" w:cstheme="minorHAnsi"/>
          <w:color w:val="auto"/>
          <w:sz w:val="22"/>
          <w:szCs w:val="22"/>
        </w:rPr>
      </w:pPr>
      <w:r w:rsidRPr="00B31D10">
        <w:rPr>
          <w:rFonts w:asciiTheme="minorHAnsi" w:hAnsiTheme="minorHAnsi" w:cstheme="minorHAnsi"/>
          <w:color w:val="auto"/>
          <w:sz w:val="22"/>
          <w:szCs w:val="22"/>
        </w:rPr>
        <w:t>Les entretiens pourront être couplés à la visite de site. Suivant les acteurs interrogés, les entretiens seront conduits par Adéquation ou Babylone</w:t>
      </w:r>
      <w:r w:rsidR="00593CEE">
        <w:rPr>
          <w:rFonts w:asciiTheme="minorHAnsi" w:hAnsiTheme="minorHAnsi" w:cstheme="minorHAnsi"/>
          <w:color w:val="auto"/>
          <w:sz w:val="22"/>
          <w:szCs w:val="22"/>
        </w:rPr>
        <w:t xml:space="preserve"> Avenue</w:t>
      </w:r>
      <w:r w:rsidRPr="00B31D10">
        <w:rPr>
          <w:rFonts w:asciiTheme="minorHAnsi" w:hAnsiTheme="minorHAnsi" w:cstheme="minorHAnsi"/>
          <w:color w:val="auto"/>
          <w:sz w:val="22"/>
          <w:szCs w:val="22"/>
        </w:rPr>
        <w:t xml:space="preserve">. Des entretiens collectifs pourront être organisés dans la limite de l’intérêt pour l’étude. </w:t>
      </w:r>
    </w:p>
    <w:p w:rsidR="00C24DC5" w:rsidRPr="00B31D10" w:rsidRDefault="003820B9" w:rsidP="005B1DAF">
      <w:pPr>
        <w:pStyle w:val="Default"/>
        <w:jc w:val="both"/>
        <w:rPr>
          <w:rFonts w:asciiTheme="minorHAnsi" w:hAnsiTheme="minorHAnsi" w:cstheme="minorHAnsi"/>
          <w:color w:val="auto"/>
          <w:sz w:val="22"/>
          <w:szCs w:val="22"/>
        </w:rPr>
      </w:pPr>
      <w:r w:rsidRPr="00B31D10">
        <w:rPr>
          <w:rFonts w:asciiTheme="minorHAnsi" w:hAnsiTheme="minorHAnsi" w:cstheme="minorHAnsi"/>
          <w:color w:val="auto"/>
          <w:sz w:val="22"/>
          <w:szCs w:val="22"/>
        </w:rPr>
        <w:t>Les entretiens seront très liés à l’organisation des « fiches</w:t>
      </w:r>
      <w:r w:rsidR="00433835">
        <w:rPr>
          <w:rFonts w:asciiTheme="minorHAnsi" w:hAnsiTheme="minorHAnsi" w:cstheme="minorHAnsi"/>
          <w:color w:val="auto"/>
          <w:sz w:val="22"/>
          <w:szCs w:val="22"/>
        </w:rPr>
        <w:t xml:space="preserve"> de cas »</w:t>
      </w:r>
      <w:r w:rsidR="00593CEE">
        <w:rPr>
          <w:rFonts w:asciiTheme="minorHAnsi" w:hAnsiTheme="minorHAnsi" w:cstheme="minorHAnsi"/>
          <w:color w:val="auto"/>
          <w:sz w:val="22"/>
          <w:szCs w:val="22"/>
        </w:rPr>
        <w:t>, dans une démarche itérative.</w:t>
      </w:r>
      <w:r w:rsidR="00433835">
        <w:rPr>
          <w:rFonts w:asciiTheme="minorHAnsi" w:hAnsiTheme="minorHAnsi" w:cstheme="minorHAnsi"/>
          <w:color w:val="auto"/>
          <w:sz w:val="22"/>
          <w:szCs w:val="22"/>
        </w:rPr>
        <w:t> </w:t>
      </w:r>
    </w:p>
    <w:p w:rsidR="003820B9" w:rsidRDefault="003820B9" w:rsidP="003820B9">
      <w:pPr>
        <w:pStyle w:val="Default"/>
      </w:pPr>
    </w:p>
    <w:p w:rsidR="003820B9" w:rsidRPr="003820B9" w:rsidRDefault="003820B9" w:rsidP="003820B9">
      <w:pPr>
        <w:pStyle w:val="Default"/>
        <w:rPr>
          <w:b/>
          <w:sz w:val="20"/>
          <w:szCs w:val="20"/>
        </w:rPr>
      </w:pPr>
      <w:r w:rsidRPr="003820B9">
        <w:rPr>
          <w:b/>
          <w:sz w:val="20"/>
          <w:szCs w:val="20"/>
        </w:rPr>
        <w:t xml:space="preserve">Rédaction des 12 « fiches de cas » </w:t>
      </w:r>
    </w:p>
    <w:p w:rsidR="003820B9" w:rsidRPr="00B31D10" w:rsidRDefault="003820B9" w:rsidP="003820B9">
      <w:pPr>
        <w:pStyle w:val="Default"/>
        <w:rPr>
          <w:rFonts w:asciiTheme="minorHAnsi" w:hAnsiTheme="minorHAnsi"/>
          <w:sz w:val="22"/>
          <w:szCs w:val="22"/>
        </w:rPr>
      </w:pPr>
      <w:r w:rsidRPr="00B31D10">
        <w:rPr>
          <w:rFonts w:asciiTheme="minorHAnsi" w:hAnsiTheme="minorHAnsi"/>
          <w:sz w:val="22"/>
          <w:szCs w:val="22"/>
        </w:rPr>
        <w:t xml:space="preserve">Le groupement s’appuiera sur son expérience d’élaboration de « benchmark » ou de « veilles concurrentielles » pour </w:t>
      </w:r>
      <w:proofErr w:type="spellStart"/>
      <w:r w:rsidRPr="00B31D10">
        <w:rPr>
          <w:rFonts w:asciiTheme="minorHAnsi" w:hAnsiTheme="minorHAnsi"/>
          <w:sz w:val="22"/>
          <w:szCs w:val="22"/>
        </w:rPr>
        <w:t>pour</w:t>
      </w:r>
      <w:proofErr w:type="spellEnd"/>
      <w:r w:rsidRPr="00B31D10">
        <w:rPr>
          <w:rFonts w:asciiTheme="minorHAnsi" w:hAnsiTheme="minorHAnsi"/>
          <w:sz w:val="22"/>
          <w:szCs w:val="22"/>
        </w:rPr>
        <w:t xml:space="preserve"> élaborer la structuration finale des fiches de cas. </w:t>
      </w:r>
    </w:p>
    <w:p w:rsidR="003820B9" w:rsidRPr="00B31D10" w:rsidRDefault="004118C5" w:rsidP="003820B9">
      <w:pPr>
        <w:pStyle w:val="Default"/>
        <w:rPr>
          <w:rFonts w:asciiTheme="minorHAnsi" w:hAnsiTheme="minorHAnsi"/>
          <w:sz w:val="22"/>
          <w:szCs w:val="22"/>
        </w:rPr>
      </w:pPr>
      <w:r w:rsidRPr="00B31D10">
        <w:rPr>
          <w:rFonts w:asciiTheme="minorHAnsi" w:hAnsiTheme="minorHAnsi"/>
          <w:sz w:val="22"/>
          <w:szCs w:val="22"/>
        </w:rPr>
        <w:t>Les</w:t>
      </w:r>
      <w:r w:rsidR="003820B9" w:rsidRPr="00B31D10">
        <w:rPr>
          <w:rFonts w:asciiTheme="minorHAnsi" w:hAnsiTheme="minorHAnsi"/>
          <w:sz w:val="22"/>
          <w:szCs w:val="22"/>
        </w:rPr>
        <w:t xml:space="preserve"> « rubrique</w:t>
      </w:r>
      <w:r w:rsidRPr="00B31D10">
        <w:rPr>
          <w:rFonts w:asciiTheme="minorHAnsi" w:hAnsiTheme="minorHAnsi"/>
          <w:sz w:val="22"/>
          <w:szCs w:val="22"/>
        </w:rPr>
        <w:t>s » de chaque fiche seront à valider par le maître d’ouvrage mais elles pourront par exemple mentionner (liste non exhaustive)</w:t>
      </w:r>
      <w:r w:rsidR="003820B9" w:rsidRPr="00B31D10">
        <w:rPr>
          <w:rFonts w:asciiTheme="minorHAnsi" w:hAnsiTheme="minorHAnsi"/>
          <w:sz w:val="22"/>
          <w:szCs w:val="22"/>
        </w:rPr>
        <w:t xml:space="preserve"> : </w:t>
      </w:r>
    </w:p>
    <w:p w:rsidR="003820B9" w:rsidRPr="00B31D10" w:rsidRDefault="003820B9" w:rsidP="004118C5">
      <w:pPr>
        <w:pStyle w:val="Default"/>
        <w:numPr>
          <w:ilvl w:val="0"/>
          <w:numId w:val="31"/>
        </w:numPr>
        <w:rPr>
          <w:rFonts w:asciiTheme="minorHAnsi" w:hAnsiTheme="minorHAnsi"/>
          <w:sz w:val="22"/>
          <w:szCs w:val="22"/>
        </w:rPr>
      </w:pPr>
      <w:r w:rsidRPr="00B31D10">
        <w:rPr>
          <w:rFonts w:asciiTheme="minorHAnsi" w:hAnsiTheme="minorHAnsi"/>
          <w:sz w:val="22"/>
          <w:szCs w:val="22"/>
        </w:rPr>
        <w:t xml:space="preserve">Contexte urbain de l’opération (localisation / environnement) </w:t>
      </w:r>
    </w:p>
    <w:p w:rsidR="003820B9" w:rsidRPr="00B31D10" w:rsidRDefault="003820B9" w:rsidP="004118C5">
      <w:pPr>
        <w:pStyle w:val="Default"/>
        <w:numPr>
          <w:ilvl w:val="0"/>
          <w:numId w:val="31"/>
        </w:numPr>
        <w:rPr>
          <w:rFonts w:asciiTheme="minorHAnsi" w:hAnsiTheme="minorHAnsi"/>
          <w:sz w:val="22"/>
          <w:szCs w:val="22"/>
        </w:rPr>
      </w:pPr>
      <w:r w:rsidRPr="00B31D10">
        <w:rPr>
          <w:rFonts w:asciiTheme="minorHAnsi" w:hAnsiTheme="minorHAnsi"/>
          <w:sz w:val="22"/>
          <w:szCs w:val="22"/>
        </w:rPr>
        <w:t xml:space="preserve">Conception (forme urbaine, produit, typologies, population visée, etc.) </w:t>
      </w:r>
    </w:p>
    <w:p w:rsidR="003820B9" w:rsidRPr="00B31D10" w:rsidRDefault="003820B9" w:rsidP="004118C5">
      <w:pPr>
        <w:pStyle w:val="Default"/>
        <w:numPr>
          <w:ilvl w:val="0"/>
          <w:numId w:val="31"/>
        </w:numPr>
        <w:rPr>
          <w:rFonts w:asciiTheme="minorHAnsi" w:hAnsiTheme="minorHAnsi"/>
          <w:sz w:val="22"/>
          <w:szCs w:val="22"/>
        </w:rPr>
      </w:pPr>
      <w:r w:rsidRPr="00B31D10">
        <w:rPr>
          <w:rFonts w:asciiTheme="minorHAnsi" w:hAnsiTheme="minorHAnsi"/>
          <w:sz w:val="22"/>
          <w:szCs w:val="22"/>
        </w:rPr>
        <w:t xml:space="preserve">Historique et partenaires de l’opération </w:t>
      </w:r>
    </w:p>
    <w:p w:rsidR="003820B9" w:rsidRPr="00B31D10" w:rsidRDefault="003820B9" w:rsidP="004118C5">
      <w:pPr>
        <w:pStyle w:val="Default"/>
        <w:numPr>
          <w:ilvl w:val="0"/>
          <w:numId w:val="31"/>
        </w:numPr>
        <w:rPr>
          <w:rFonts w:asciiTheme="minorHAnsi" w:hAnsiTheme="minorHAnsi"/>
          <w:sz w:val="22"/>
          <w:szCs w:val="22"/>
        </w:rPr>
      </w:pPr>
      <w:r w:rsidRPr="00B31D10">
        <w:rPr>
          <w:rFonts w:asciiTheme="minorHAnsi" w:hAnsiTheme="minorHAnsi"/>
          <w:sz w:val="22"/>
          <w:szCs w:val="22"/>
        </w:rPr>
        <w:t xml:space="preserve">Montages (opérationnels, juridiques, financiers et techniques) </w:t>
      </w:r>
    </w:p>
    <w:p w:rsidR="003820B9" w:rsidRPr="00B31D10" w:rsidRDefault="003820B9" w:rsidP="004118C5">
      <w:pPr>
        <w:pStyle w:val="Default"/>
        <w:numPr>
          <w:ilvl w:val="0"/>
          <w:numId w:val="31"/>
        </w:numPr>
        <w:rPr>
          <w:rFonts w:asciiTheme="minorHAnsi" w:hAnsiTheme="minorHAnsi"/>
          <w:sz w:val="22"/>
          <w:szCs w:val="22"/>
        </w:rPr>
      </w:pPr>
      <w:proofErr w:type="spellStart"/>
      <w:r w:rsidRPr="00B31D10">
        <w:rPr>
          <w:rFonts w:asciiTheme="minorHAnsi" w:hAnsiTheme="minorHAnsi"/>
          <w:sz w:val="22"/>
          <w:szCs w:val="22"/>
        </w:rPr>
        <w:t>A.F.O.M</w:t>
      </w:r>
      <w:proofErr w:type="spellEnd"/>
      <w:r w:rsidRPr="00B31D10">
        <w:rPr>
          <w:rFonts w:asciiTheme="minorHAnsi" w:hAnsiTheme="minorHAnsi"/>
          <w:sz w:val="22"/>
          <w:szCs w:val="22"/>
        </w:rPr>
        <w:t xml:space="preserve"> (atouts, faiblesses, opportunités, menaces) </w:t>
      </w:r>
    </w:p>
    <w:p w:rsidR="003820B9" w:rsidRPr="00B31D10" w:rsidRDefault="003820B9" w:rsidP="004118C5">
      <w:pPr>
        <w:pStyle w:val="Default"/>
        <w:numPr>
          <w:ilvl w:val="0"/>
          <w:numId w:val="31"/>
        </w:numPr>
        <w:rPr>
          <w:rFonts w:asciiTheme="minorHAnsi" w:hAnsiTheme="minorHAnsi"/>
          <w:sz w:val="22"/>
          <w:szCs w:val="22"/>
        </w:rPr>
      </w:pPr>
      <w:r w:rsidRPr="00B31D10">
        <w:rPr>
          <w:rFonts w:asciiTheme="minorHAnsi" w:hAnsiTheme="minorHAnsi"/>
          <w:sz w:val="22"/>
          <w:szCs w:val="22"/>
        </w:rPr>
        <w:t xml:space="preserve">Etc. </w:t>
      </w:r>
    </w:p>
    <w:p w:rsidR="003820B9" w:rsidRPr="00B31D10" w:rsidRDefault="003820B9" w:rsidP="003820B9">
      <w:pPr>
        <w:pStyle w:val="Default"/>
        <w:jc w:val="both"/>
        <w:rPr>
          <w:rFonts w:asciiTheme="minorHAnsi" w:hAnsiTheme="minorHAnsi"/>
          <w:sz w:val="22"/>
          <w:szCs w:val="22"/>
        </w:rPr>
      </w:pPr>
      <w:r w:rsidRPr="00B31D10">
        <w:rPr>
          <w:rFonts w:asciiTheme="minorHAnsi" w:hAnsiTheme="minorHAnsi"/>
          <w:sz w:val="22"/>
          <w:szCs w:val="22"/>
        </w:rPr>
        <w:t>Un tableau de synthèse permettra d’avoir un regard global sur les différentes opérations analysées.</w:t>
      </w:r>
    </w:p>
    <w:p w:rsidR="004118C5" w:rsidRDefault="004118C5" w:rsidP="003820B9">
      <w:pPr>
        <w:pStyle w:val="Default"/>
        <w:jc w:val="both"/>
        <w:rPr>
          <w:sz w:val="20"/>
          <w:szCs w:val="20"/>
        </w:rPr>
      </w:pPr>
    </w:p>
    <w:p w:rsidR="00433835" w:rsidRDefault="00433835" w:rsidP="003820B9">
      <w:pPr>
        <w:pStyle w:val="Default"/>
        <w:jc w:val="both"/>
        <w:rPr>
          <w:sz w:val="20"/>
          <w:szCs w:val="20"/>
        </w:rPr>
      </w:pPr>
    </w:p>
    <w:p w:rsidR="004118C5" w:rsidRPr="004118C5" w:rsidRDefault="004118C5" w:rsidP="004118C5">
      <w:pPr>
        <w:pStyle w:val="Default"/>
        <w:numPr>
          <w:ilvl w:val="0"/>
          <w:numId w:val="29"/>
        </w:numPr>
        <w:rPr>
          <w:b/>
          <w:bCs/>
          <w:sz w:val="23"/>
          <w:szCs w:val="23"/>
        </w:rPr>
      </w:pPr>
      <w:r>
        <w:rPr>
          <w:b/>
          <w:bCs/>
          <w:sz w:val="23"/>
          <w:szCs w:val="23"/>
        </w:rPr>
        <w:t xml:space="preserve">– Rédaction des documents finaux </w:t>
      </w:r>
    </w:p>
    <w:p w:rsidR="004118C5" w:rsidRDefault="004118C5" w:rsidP="004118C5">
      <w:pPr>
        <w:pStyle w:val="Default"/>
        <w:rPr>
          <w:sz w:val="20"/>
          <w:szCs w:val="20"/>
        </w:rPr>
      </w:pPr>
    </w:p>
    <w:p w:rsidR="004118C5" w:rsidRPr="004118C5" w:rsidRDefault="004118C5" w:rsidP="004118C5">
      <w:pPr>
        <w:pStyle w:val="Default"/>
        <w:rPr>
          <w:b/>
          <w:sz w:val="20"/>
          <w:szCs w:val="20"/>
        </w:rPr>
      </w:pPr>
      <w:r w:rsidRPr="004118C5">
        <w:rPr>
          <w:b/>
          <w:sz w:val="20"/>
          <w:szCs w:val="20"/>
        </w:rPr>
        <w:t xml:space="preserve">Rédaction du document final « publiable » en tant que Cahier d’Actualités Habitat </w:t>
      </w:r>
    </w:p>
    <w:p w:rsidR="004118C5" w:rsidRPr="00B31D10" w:rsidRDefault="004118C5" w:rsidP="004118C5">
      <w:pPr>
        <w:pStyle w:val="Default"/>
        <w:rPr>
          <w:rFonts w:asciiTheme="minorHAnsi" w:hAnsiTheme="minorHAnsi"/>
          <w:sz w:val="22"/>
          <w:szCs w:val="22"/>
        </w:rPr>
      </w:pPr>
      <w:r w:rsidRPr="00B31D10">
        <w:rPr>
          <w:rFonts w:asciiTheme="minorHAnsi" w:hAnsiTheme="minorHAnsi"/>
          <w:sz w:val="22"/>
          <w:szCs w:val="22"/>
        </w:rPr>
        <w:lastRenderedPageBreak/>
        <w:t>Les résultats de la démarche seront structurés dans un document publiable et diffusable, où le gr</w:t>
      </w:r>
      <w:r w:rsidR="00433835">
        <w:rPr>
          <w:rFonts w:asciiTheme="minorHAnsi" w:hAnsiTheme="minorHAnsi"/>
          <w:sz w:val="22"/>
          <w:szCs w:val="22"/>
        </w:rPr>
        <w:t>oupement s’attachera à prendre en compte</w:t>
      </w:r>
      <w:r w:rsidRPr="00B31D10">
        <w:rPr>
          <w:rFonts w:asciiTheme="minorHAnsi" w:hAnsiTheme="minorHAnsi"/>
          <w:sz w:val="22"/>
          <w:szCs w:val="22"/>
        </w:rPr>
        <w:t xml:space="preserve"> la charte graphiq</w:t>
      </w:r>
      <w:r w:rsidR="00433835">
        <w:rPr>
          <w:rFonts w:asciiTheme="minorHAnsi" w:hAnsiTheme="minorHAnsi"/>
          <w:sz w:val="22"/>
          <w:szCs w:val="22"/>
        </w:rPr>
        <w:t>ue de l’USH en vue d’une publication dans les</w:t>
      </w:r>
      <w:r w:rsidRPr="00B31D10">
        <w:rPr>
          <w:rFonts w:asciiTheme="minorHAnsi" w:hAnsiTheme="minorHAnsi"/>
          <w:sz w:val="22"/>
          <w:szCs w:val="22"/>
        </w:rPr>
        <w:t xml:space="preserve"> Cahiers d’Actualités Habitat. </w:t>
      </w:r>
    </w:p>
    <w:p w:rsidR="004118C5" w:rsidRPr="00B31D10" w:rsidRDefault="004118C5" w:rsidP="004118C5">
      <w:pPr>
        <w:pStyle w:val="Default"/>
        <w:rPr>
          <w:rFonts w:asciiTheme="minorHAnsi" w:hAnsiTheme="minorHAnsi"/>
          <w:sz w:val="22"/>
          <w:szCs w:val="22"/>
        </w:rPr>
      </w:pPr>
    </w:p>
    <w:p w:rsidR="004118C5" w:rsidRPr="00B31D10" w:rsidRDefault="004118C5" w:rsidP="004118C5">
      <w:pPr>
        <w:pStyle w:val="Default"/>
        <w:jc w:val="both"/>
        <w:rPr>
          <w:rFonts w:asciiTheme="minorHAnsi" w:hAnsiTheme="minorHAnsi"/>
          <w:sz w:val="22"/>
          <w:szCs w:val="22"/>
        </w:rPr>
      </w:pPr>
      <w:r w:rsidRPr="00B31D10">
        <w:rPr>
          <w:rFonts w:asciiTheme="minorHAnsi" w:hAnsiTheme="minorHAnsi"/>
          <w:sz w:val="22"/>
          <w:szCs w:val="22"/>
        </w:rPr>
        <w:t xml:space="preserve">La note de contexte </w:t>
      </w:r>
      <w:r w:rsidR="00433835">
        <w:rPr>
          <w:rFonts w:asciiTheme="minorHAnsi" w:hAnsiTheme="minorHAnsi"/>
          <w:sz w:val="22"/>
          <w:szCs w:val="22"/>
        </w:rPr>
        <w:t xml:space="preserve">législatif et </w:t>
      </w:r>
      <w:r w:rsidRPr="00B31D10">
        <w:rPr>
          <w:rFonts w:asciiTheme="minorHAnsi" w:hAnsiTheme="minorHAnsi"/>
          <w:sz w:val="22"/>
          <w:szCs w:val="22"/>
        </w:rPr>
        <w:t>réglement</w:t>
      </w:r>
      <w:r w:rsidR="00433835">
        <w:rPr>
          <w:rFonts w:asciiTheme="minorHAnsi" w:hAnsiTheme="minorHAnsi"/>
          <w:sz w:val="22"/>
          <w:szCs w:val="22"/>
        </w:rPr>
        <w:t xml:space="preserve">aire fera l’objet </w:t>
      </w:r>
      <w:proofErr w:type="gramStart"/>
      <w:r w:rsidR="00433835">
        <w:rPr>
          <w:rFonts w:asciiTheme="minorHAnsi" w:hAnsiTheme="minorHAnsi"/>
          <w:sz w:val="22"/>
          <w:szCs w:val="22"/>
        </w:rPr>
        <w:t>d’ un</w:t>
      </w:r>
      <w:proofErr w:type="gramEnd"/>
      <w:r w:rsidR="00433835">
        <w:rPr>
          <w:rFonts w:asciiTheme="minorHAnsi" w:hAnsiTheme="minorHAnsi"/>
          <w:sz w:val="22"/>
          <w:szCs w:val="22"/>
        </w:rPr>
        <w:t xml:space="preserve"> premier volet du</w:t>
      </w:r>
      <w:r w:rsidRPr="00B31D10">
        <w:rPr>
          <w:rFonts w:asciiTheme="minorHAnsi" w:hAnsiTheme="minorHAnsi"/>
          <w:sz w:val="22"/>
          <w:szCs w:val="22"/>
        </w:rPr>
        <w:t xml:space="preserve"> document, suivie des chapitres correspondant à la « typologie » </w:t>
      </w:r>
      <w:r w:rsidR="00CD23A7">
        <w:rPr>
          <w:rFonts w:asciiTheme="minorHAnsi" w:hAnsiTheme="minorHAnsi"/>
          <w:sz w:val="22"/>
          <w:szCs w:val="22"/>
        </w:rPr>
        <w:t>mise en place. Chaque chapitre présentera le</w:t>
      </w:r>
      <w:r w:rsidRPr="00B31D10">
        <w:rPr>
          <w:rFonts w:asciiTheme="minorHAnsi" w:hAnsiTheme="minorHAnsi"/>
          <w:sz w:val="22"/>
          <w:szCs w:val="22"/>
        </w:rPr>
        <w:t xml:space="preserve"> « mécanisme » du type d’intervention dans sa globalité en préambule (cadre réglementaire,</w:t>
      </w:r>
      <w:r w:rsidR="00CD23A7">
        <w:rPr>
          <w:rFonts w:asciiTheme="minorHAnsi" w:hAnsiTheme="minorHAnsi"/>
          <w:sz w:val="22"/>
          <w:szCs w:val="22"/>
        </w:rPr>
        <w:t xml:space="preserve"> contraintes techniques et opérationnelle,</w:t>
      </w:r>
      <w:r w:rsidRPr="00B31D10">
        <w:rPr>
          <w:rFonts w:asciiTheme="minorHAnsi" w:hAnsiTheme="minorHAnsi"/>
          <w:sz w:val="22"/>
          <w:szCs w:val="22"/>
        </w:rPr>
        <w:t xml:space="preserve"> etc.), avant même de rentrer dans les exemples des opérations. </w:t>
      </w:r>
    </w:p>
    <w:p w:rsidR="004118C5" w:rsidRPr="00B31D10" w:rsidRDefault="004118C5" w:rsidP="004118C5">
      <w:pPr>
        <w:pStyle w:val="Default"/>
        <w:jc w:val="both"/>
        <w:rPr>
          <w:rFonts w:asciiTheme="minorHAnsi" w:hAnsiTheme="minorHAnsi"/>
          <w:sz w:val="22"/>
          <w:szCs w:val="22"/>
        </w:rPr>
      </w:pPr>
      <w:r w:rsidRPr="00B31D10">
        <w:rPr>
          <w:rFonts w:asciiTheme="minorHAnsi" w:hAnsiTheme="minorHAnsi"/>
          <w:sz w:val="22"/>
          <w:szCs w:val="22"/>
        </w:rPr>
        <w:t xml:space="preserve">Après la présentation des opérations, l’étude s’attachera à </w:t>
      </w:r>
      <w:r w:rsidR="00CD23A7">
        <w:rPr>
          <w:rFonts w:asciiTheme="minorHAnsi" w:hAnsiTheme="minorHAnsi"/>
          <w:sz w:val="22"/>
          <w:szCs w:val="22"/>
        </w:rPr>
        <w:t xml:space="preserve">en </w:t>
      </w:r>
      <w:r w:rsidRPr="00B31D10">
        <w:rPr>
          <w:rFonts w:asciiTheme="minorHAnsi" w:hAnsiTheme="minorHAnsi"/>
          <w:sz w:val="22"/>
          <w:szCs w:val="22"/>
        </w:rPr>
        <w:t>montrer les avantages et les limites, ainsi que les leviers pour favoriser ce mode de production</w:t>
      </w:r>
      <w:r w:rsidR="00593CEE">
        <w:rPr>
          <w:rFonts w:asciiTheme="minorHAnsi" w:hAnsiTheme="minorHAnsi"/>
          <w:sz w:val="22"/>
          <w:szCs w:val="22"/>
        </w:rPr>
        <w:t xml:space="preserve"> du logement social</w:t>
      </w:r>
      <w:r w:rsidRPr="00B31D10">
        <w:rPr>
          <w:rFonts w:asciiTheme="minorHAnsi" w:hAnsiTheme="minorHAnsi"/>
          <w:sz w:val="22"/>
          <w:szCs w:val="22"/>
        </w:rPr>
        <w:t xml:space="preserve">. </w:t>
      </w:r>
    </w:p>
    <w:p w:rsidR="004118C5" w:rsidRDefault="004118C5" w:rsidP="004118C5">
      <w:pPr>
        <w:pStyle w:val="Default"/>
        <w:jc w:val="both"/>
        <w:rPr>
          <w:sz w:val="20"/>
          <w:szCs w:val="20"/>
        </w:rPr>
      </w:pPr>
    </w:p>
    <w:p w:rsidR="004118C5" w:rsidRPr="004118C5" w:rsidRDefault="004118C5" w:rsidP="004118C5">
      <w:pPr>
        <w:pStyle w:val="Default"/>
        <w:jc w:val="both"/>
        <w:rPr>
          <w:b/>
          <w:sz w:val="20"/>
          <w:szCs w:val="20"/>
        </w:rPr>
      </w:pPr>
      <w:r w:rsidRPr="004118C5">
        <w:rPr>
          <w:b/>
          <w:sz w:val="20"/>
          <w:szCs w:val="20"/>
        </w:rPr>
        <w:t xml:space="preserve">Note de synthèse et présentation du document </w:t>
      </w:r>
    </w:p>
    <w:p w:rsidR="004118C5" w:rsidRPr="00B31D10" w:rsidRDefault="004118C5" w:rsidP="004118C5">
      <w:pPr>
        <w:pStyle w:val="Default"/>
        <w:rPr>
          <w:rFonts w:asciiTheme="minorHAnsi" w:hAnsiTheme="minorHAnsi"/>
          <w:sz w:val="22"/>
          <w:szCs w:val="22"/>
        </w:rPr>
      </w:pPr>
      <w:r w:rsidRPr="00B31D10">
        <w:rPr>
          <w:rFonts w:asciiTheme="minorHAnsi" w:hAnsiTheme="minorHAnsi"/>
          <w:sz w:val="22"/>
          <w:szCs w:val="22"/>
        </w:rPr>
        <w:t xml:space="preserve">Une note de présentation et de synthèse en quatre pages sera rédigée afin de communiquer plus facilement et largement sur l’étude. </w:t>
      </w:r>
    </w:p>
    <w:p w:rsidR="004118C5" w:rsidRPr="00B31D10" w:rsidRDefault="004118C5" w:rsidP="004118C5">
      <w:pPr>
        <w:pStyle w:val="Default"/>
        <w:jc w:val="both"/>
        <w:rPr>
          <w:rFonts w:asciiTheme="minorHAnsi" w:hAnsiTheme="minorHAnsi"/>
          <w:sz w:val="22"/>
          <w:szCs w:val="22"/>
        </w:rPr>
      </w:pPr>
      <w:r w:rsidRPr="00B31D10">
        <w:rPr>
          <w:rFonts w:asciiTheme="minorHAnsi" w:hAnsiTheme="minorHAnsi"/>
          <w:sz w:val="22"/>
          <w:szCs w:val="22"/>
        </w:rPr>
        <w:t>Tous les documents de présentation PowerPoint seront transmis au commanditaire de l’étude.</w:t>
      </w:r>
    </w:p>
    <w:p w:rsidR="004E2BD8" w:rsidRPr="00AC2A91" w:rsidRDefault="004E2BD8" w:rsidP="00B72E22">
      <w:pPr>
        <w:ind w:left="357" w:hanging="357"/>
        <w:rPr>
          <w:rFonts w:ascii="Calibri" w:hAnsi="Calibri" w:cs="Calibri"/>
          <w:sz w:val="16"/>
          <w:szCs w:val="16"/>
        </w:rPr>
      </w:pPr>
    </w:p>
    <w:p w:rsidR="0096504A" w:rsidRPr="00346DA2" w:rsidRDefault="00FE19E3" w:rsidP="00B72E22">
      <w:pPr>
        <w:pBdr>
          <w:bottom w:val="single" w:sz="6" w:space="1" w:color="auto"/>
        </w:pBdr>
        <w:ind w:left="357" w:hanging="357"/>
        <w:rPr>
          <w:rFonts w:ascii="Calibri" w:hAnsi="Calibri" w:cs="Calibri"/>
          <w:b/>
          <w:smallCaps/>
          <w:color w:val="1F497D" w:themeColor="text2"/>
          <w:sz w:val="24"/>
          <w:szCs w:val="24"/>
        </w:rPr>
      </w:pPr>
      <w:r w:rsidRPr="00346DA2">
        <w:rPr>
          <w:rFonts w:ascii="Calibri" w:hAnsi="Calibri" w:cs="Calibri"/>
          <w:b/>
          <w:smallCaps/>
          <w:color w:val="1F497D" w:themeColor="text2"/>
          <w:sz w:val="24"/>
          <w:szCs w:val="24"/>
        </w:rPr>
        <w:t>4.</w:t>
      </w:r>
      <w:r w:rsidRPr="00346DA2">
        <w:rPr>
          <w:rFonts w:ascii="Calibri" w:hAnsi="Calibri" w:cs="Calibri"/>
          <w:b/>
          <w:smallCaps/>
          <w:color w:val="1F497D" w:themeColor="text2"/>
          <w:sz w:val="24"/>
          <w:szCs w:val="24"/>
        </w:rPr>
        <w:tab/>
      </w:r>
      <w:r w:rsidR="00B72E22" w:rsidRPr="00346DA2">
        <w:rPr>
          <w:rFonts w:ascii="Calibri" w:hAnsi="Calibri" w:cs="Calibri"/>
          <w:b/>
          <w:smallCaps/>
          <w:color w:val="1F497D" w:themeColor="text2"/>
          <w:sz w:val="24"/>
          <w:szCs w:val="24"/>
        </w:rPr>
        <w:t>Calendrier</w:t>
      </w:r>
    </w:p>
    <w:p w:rsidR="0096504A" w:rsidRPr="00AC2A91" w:rsidRDefault="0096504A" w:rsidP="00B72E22">
      <w:pPr>
        <w:ind w:left="357" w:hanging="357"/>
        <w:rPr>
          <w:rFonts w:ascii="Calibri" w:hAnsi="Calibri" w:cs="Calibri"/>
          <w:sz w:val="16"/>
          <w:szCs w:val="16"/>
        </w:rPr>
      </w:pPr>
    </w:p>
    <w:p w:rsidR="004E2BD8" w:rsidRDefault="00727778" w:rsidP="00B72E22">
      <w:pPr>
        <w:ind w:left="357" w:hanging="357"/>
        <w:rPr>
          <w:rFonts w:ascii="Calibri" w:hAnsi="Calibri" w:cs="Calibri"/>
          <w:sz w:val="22"/>
          <w:szCs w:val="22"/>
        </w:rPr>
      </w:pPr>
      <w:r>
        <w:rPr>
          <w:rFonts w:ascii="Calibri" w:hAnsi="Calibri" w:cs="Calibri"/>
          <w:sz w:val="22"/>
          <w:szCs w:val="22"/>
        </w:rPr>
        <w:tab/>
        <w:t xml:space="preserve">Le lancement de l’étude est fixé au </w:t>
      </w:r>
      <w:r w:rsidR="00EB0148">
        <w:rPr>
          <w:rFonts w:ascii="Calibri" w:hAnsi="Calibri" w:cs="Calibri"/>
          <w:sz w:val="22"/>
          <w:szCs w:val="22"/>
        </w:rPr>
        <w:t>29</w:t>
      </w:r>
      <w:r w:rsidR="0013542B">
        <w:rPr>
          <w:rFonts w:ascii="Calibri" w:hAnsi="Calibri" w:cs="Calibri"/>
          <w:sz w:val="22"/>
          <w:szCs w:val="22"/>
        </w:rPr>
        <w:t xml:space="preserve"> Décembre</w:t>
      </w:r>
      <w:r>
        <w:rPr>
          <w:rFonts w:ascii="Calibri" w:hAnsi="Calibri" w:cs="Calibri"/>
          <w:sz w:val="22"/>
          <w:szCs w:val="22"/>
        </w:rPr>
        <w:t xml:space="preserve"> 2014, la remise de l’ensemble des documents de synthèse</w:t>
      </w:r>
      <w:r w:rsidR="0013542B">
        <w:rPr>
          <w:rFonts w:ascii="Calibri" w:hAnsi="Calibri" w:cs="Calibri"/>
          <w:sz w:val="22"/>
          <w:szCs w:val="22"/>
        </w:rPr>
        <w:t xml:space="preserve">  et les réunions finales à </w:t>
      </w:r>
      <w:r w:rsidR="00B31D10">
        <w:rPr>
          <w:rFonts w:ascii="Calibri" w:hAnsi="Calibri" w:cs="Calibri"/>
          <w:sz w:val="22"/>
          <w:szCs w:val="22"/>
        </w:rPr>
        <w:t xml:space="preserve">PARIS </w:t>
      </w:r>
      <w:r>
        <w:rPr>
          <w:rFonts w:ascii="Calibri" w:hAnsi="Calibri" w:cs="Calibri"/>
          <w:sz w:val="22"/>
          <w:szCs w:val="22"/>
        </w:rPr>
        <w:t xml:space="preserve">au </w:t>
      </w:r>
      <w:r w:rsidR="00841001">
        <w:rPr>
          <w:rFonts w:ascii="Calibri" w:hAnsi="Calibri" w:cs="Calibri"/>
          <w:sz w:val="22"/>
          <w:szCs w:val="22"/>
        </w:rPr>
        <w:t xml:space="preserve"> 15 </w:t>
      </w:r>
      <w:r w:rsidR="004118C5">
        <w:rPr>
          <w:rFonts w:ascii="Calibri" w:hAnsi="Calibri" w:cs="Calibri"/>
          <w:sz w:val="22"/>
          <w:szCs w:val="22"/>
        </w:rPr>
        <w:t>Juillet</w:t>
      </w:r>
      <w:r w:rsidR="0013542B">
        <w:rPr>
          <w:rFonts w:ascii="Calibri" w:hAnsi="Calibri" w:cs="Calibri"/>
          <w:sz w:val="22"/>
          <w:szCs w:val="22"/>
        </w:rPr>
        <w:t xml:space="preserve"> </w:t>
      </w:r>
      <w:r>
        <w:rPr>
          <w:rFonts w:ascii="Calibri" w:hAnsi="Calibri" w:cs="Calibri"/>
          <w:sz w:val="22"/>
          <w:szCs w:val="22"/>
        </w:rPr>
        <w:t xml:space="preserve"> 2015</w:t>
      </w:r>
      <w:r w:rsidR="0087626E">
        <w:rPr>
          <w:rFonts w:ascii="Calibri" w:hAnsi="Calibri" w:cs="Calibri"/>
          <w:sz w:val="22"/>
          <w:szCs w:val="22"/>
        </w:rPr>
        <w:t>.</w:t>
      </w:r>
    </w:p>
    <w:p w:rsidR="005C58CE" w:rsidRPr="00AC2A91" w:rsidRDefault="005C58CE" w:rsidP="00B72E22">
      <w:pPr>
        <w:ind w:left="357" w:hanging="357"/>
        <w:rPr>
          <w:rFonts w:ascii="Calibri" w:hAnsi="Calibri" w:cs="Calibri"/>
          <w:sz w:val="16"/>
          <w:szCs w:val="16"/>
        </w:rPr>
      </w:pPr>
    </w:p>
    <w:sectPr w:rsidR="005C58CE" w:rsidRPr="00AC2A91" w:rsidSect="00E146C7">
      <w:headerReference w:type="default" r:id="rId9"/>
      <w:footerReference w:type="default" r:id="rId10"/>
      <w:pgSz w:w="11907" w:h="16840" w:code="9"/>
      <w:pgMar w:top="1871" w:right="567" w:bottom="851" w:left="567" w:header="720" w:footer="284"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E6" w:rsidRDefault="008220E6">
      <w:r>
        <w:separator/>
      </w:r>
    </w:p>
  </w:endnote>
  <w:endnote w:type="continuationSeparator" w:id="0">
    <w:p w:rsidR="008220E6" w:rsidRDefault="0082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48" w:rsidRPr="00DF2ED3" w:rsidRDefault="007A2E48" w:rsidP="00DF2ED3">
    <w:pPr>
      <w:spacing w:line="220" w:lineRule="exact"/>
      <w:ind w:left="1985"/>
      <w:rPr>
        <w:caps/>
        <w:spacing w:val="20"/>
        <w:sz w:val="16"/>
      </w:rPr>
    </w:pPr>
    <w:r w:rsidRPr="00DF2ED3">
      <w:rPr>
        <w:caps/>
        <w:spacing w:val="20"/>
        <w:sz w:val="16"/>
      </w:rPr>
      <w:t>Union nationale des Fédérations d’organismes Hlm</w:t>
    </w:r>
  </w:p>
  <w:p w:rsidR="007A2E48" w:rsidRPr="00DF2ED3" w:rsidRDefault="007A2E48" w:rsidP="00DF2ED3">
    <w:pPr>
      <w:spacing w:line="220" w:lineRule="exact"/>
      <w:ind w:left="1985"/>
      <w:rPr>
        <w:sz w:val="16"/>
      </w:rPr>
    </w:pPr>
    <w:r w:rsidRPr="00DF2ED3">
      <w:rPr>
        <w:sz w:val="16"/>
      </w:rPr>
      <w:t>14, rue Lord Byron • 75384 Paris Cedex 08 • Tél. : 01 40 75 78 00 • Fax : 01 40 75 79 83 • www.union-habitat.org</w:t>
    </w:r>
  </w:p>
  <w:p w:rsidR="007A2E48" w:rsidRDefault="007A2E48" w:rsidP="00E146C7">
    <w:pPr>
      <w:tabs>
        <w:tab w:val="center" w:pos="4819"/>
        <w:tab w:val="right" w:pos="9071"/>
      </w:tabs>
      <w:spacing w:line="220" w:lineRule="exact"/>
      <w:ind w:left="1985"/>
      <w:jc w:val="both"/>
    </w:pPr>
    <w:r w:rsidRPr="00DF2ED3">
      <w:rPr>
        <w:rFonts w:ascii="Times New Roman" w:hAnsi="Times New Roman"/>
        <w:sz w:val="14"/>
      </w:rPr>
      <w:t>Association Loi 1901 • Siret 775 697 907 00068 • APE 913 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E6" w:rsidRDefault="008220E6">
      <w:r>
        <w:separator/>
      </w:r>
    </w:p>
  </w:footnote>
  <w:footnote w:type="continuationSeparator" w:id="0">
    <w:p w:rsidR="008220E6" w:rsidRDefault="00822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412594"/>
      <w:docPartObj>
        <w:docPartGallery w:val="Page Numbers (Top of Page)"/>
        <w:docPartUnique/>
      </w:docPartObj>
    </w:sdtPr>
    <w:sdtEndPr>
      <w:rPr>
        <w:sz w:val="16"/>
        <w:szCs w:val="16"/>
      </w:rPr>
    </w:sdtEndPr>
    <w:sdtContent>
      <w:p w:rsidR="00B31D10" w:rsidRPr="00B31D10" w:rsidRDefault="00B31D10">
        <w:pPr>
          <w:pStyle w:val="En-tte"/>
          <w:jc w:val="right"/>
          <w:rPr>
            <w:sz w:val="16"/>
            <w:szCs w:val="16"/>
          </w:rPr>
        </w:pPr>
        <w:r w:rsidRPr="00B31D10">
          <w:rPr>
            <w:sz w:val="16"/>
            <w:szCs w:val="16"/>
          </w:rPr>
          <w:fldChar w:fldCharType="begin"/>
        </w:r>
        <w:r w:rsidRPr="00B31D10">
          <w:rPr>
            <w:sz w:val="16"/>
            <w:szCs w:val="16"/>
          </w:rPr>
          <w:instrText>PAGE   \* MERGEFORMAT</w:instrText>
        </w:r>
        <w:r w:rsidRPr="00B31D10">
          <w:rPr>
            <w:sz w:val="16"/>
            <w:szCs w:val="16"/>
          </w:rPr>
          <w:fldChar w:fldCharType="separate"/>
        </w:r>
        <w:r w:rsidR="00881E2F">
          <w:rPr>
            <w:noProof/>
            <w:sz w:val="16"/>
            <w:szCs w:val="16"/>
          </w:rPr>
          <w:t>1</w:t>
        </w:r>
        <w:r w:rsidRPr="00B31D10">
          <w:rPr>
            <w:sz w:val="16"/>
            <w:szCs w:val="16"/>
          </w:rPr>
          <w:fldChar w:fldCharType="end"/>
        </w:r>
        <w:r w:rsidRPr="00B31D10">
          <w:rPr>
            <w:sz w:val="16"/>
            <w:szCs w:val="16"/>
          </w:rPr>
          <w:t>/6</w:t>
        </w:r>
      </w:p>
    </w:sdtContent>
  </w:sdt>
  <w:p w:rsidR="007A2E48" w:rsidRDefault="007A2E48" w:rsidP="00470851">
    <w:pPr>
      <w:pStyle w:val="En-tte"/>
      <w:ind w:left="4252" w:firstLine="48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245DE4"/>
    <w:multiLevelType w:val="hybridMultilevel"/>
    <w:tmpl w:val="9D4AB6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D3760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
    <w:nsid w:val="0AD24F98"/>
    <w:multiLevelType w:val="hybridMultilevel"/>
    <w:tmpl w:val="243EBD7A"/>
    <w:lvl w:ilvl="0" w:tplc="3F02BC4A">
      <w:numFmt w:val="bullet"/>
      <w:lvlText w:val="-"/>
      <w:lvlJc w:val="left"/>
      <w:pPr>
        <w:tabs>
          <w:tab w:val="num" w:pos="1068"/>
        </w:tabs>
        <w:ind w:left="1068" w:hanging="360"/>
      </w:pPr>
      <w:rPr>
        <w:rFonts w:ascii="Helv" w:eastAsia="Times New Roman" w:hAnsi="Helv" w:cs="Helv"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1B004540">
      <w:start w:val="9"/>
      <w:numFmt w:val="bullet"/>
      <w:lvlText w:val=""/>
      <w:lvlJc w:val="left"/>
      <w:pPr>
        <w:tabs>
          <w:tab w:val="num" w:pos="2508"/>
        </w:tabs>
        <w:ind w:left="2508" w:hanging="360"/>
      </w:pPr>
      <w:rPr>
        <w:rFonts w:ascii="Wingdings" w:eastAsia="Times New Roman" w:hAnsi="Wingdings" w:hint="default"/>
        <w:color w:val="auto"/>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nsid w:val="0F7D6E0A"/>
    <w:multiLevelType w:val="hybridMultilevel"/>
    <w:tmpl w:val="7F1E1E82"/>
    <w:lvl w:ilvl="0" w:tplc="B1F80A46">
      <w:start w:val="3"/>
      <w:numFmt w:val="bullet"/>
      <w:lvlText w:val="-"/>
      <w:lvlJc w:val="left"/>
      <w:pPr>
        <w:tabs>
          <w:tab w:val="num" w:pos="363"/>
        </w:tabs>
        <w:ind w:left="363" w:hanging="360"/>
      </w:pPr>
      <w:rPr>
        <w:rFonts w:ascii="Arial" w:eastAsia="Times New Roman" w:hAnsi="Arial" w:cs="Arial" w:hint="default"/>
      </w:rPr>
    </w:lvl>
    <w:lvl w:ilvl="1" w:tplc="040C0003" w:tentative="1">
      <w:start w:val="1"/>
      <w:numFmt w:val="bullet"/>
      <w:lvlText w:val="o"/>
      <w:lvlJc w:val="left"/>
      <w:pPr>
        <w:tabs>
          <w:tab w:val="num" w:pos="1083"/>
        </w:tabs>
        <w:ind w:left="1083" w:hanging="360"/>
      </w:pPr>
      <w:rPr>
        <w:rFonts w:ascii="Courier New" w:hAnsi="Courier New" w:cs="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cs="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cs="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5">
    <w:nsid w:val="14B05850"/>
    <w:multiLevelType w:val="hybridMultilevel"/>
    <w:tmpl w:val="7B52638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nsid w:val="22C10670"/>
    <w:multiLevelType w:val="hybridMultilevel"/>
    <w:tmpl w:val="ABEE7C48"/>
    <w:lvl w:ilvl="0" w:tplc="9BB059E2">
      <w:start w:val="8"/>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C76550"/>
    <w:multiLevelType w:val="hybridMultilevel"/>
    <w:tmpl w:val="1A3E0346"/>
    <w:lvl w:ilvl="0" w:tplc="BAFC0F82">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571F17"/>
    <w:multiLevelType w:val="hybridMultilevel"/>
    <w:tmpl w:val="34C61AFC"/>
    <w:lvl w:ilvl="0" w:tplc="5A04C8C2">
      <w:start w:val="4"/>
      <w:numFmt w:val="bullet"/>
      <w:lvlText w:val="-"/>
      <w:lvlJc w:val="left"/>
      <w:pPr>
        <w:tabs>
          <w:tab w:val="num" w:pos="720"/>
        </w:tabs>
        <w:ind w:left="720" w:hanging="360"/>
      </w:pPr>
      <w:rPr>
        <w:rFonts w:ascii="Arial" w:eastAsia="Times New Roman" w:hAnsi="Aria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84A5516"/>
    <w:multiLevelType w:val="hybridMultilevel"/>
    <w:tmpl w:val="EDC8A6A0"/>
    <w:lvl w:ilvl="0" w:tplc="3F02BC4A">
      <w:numFmt w:val="bullet"/>
      <w:lvlText w:val="-"/>
      <w:lvlJc w:val="left"/>
      <w:pPr>
        <w:tabs>
          <w:tab w:val="num" w:pos="1068"/>
        </w:tabs>
        <w:ind w:left="1068" w:hanging="360"/>
      </w:pPr>
      <w:rPr>
        <w:rFonts w:ascii="Helv" w:eastAsia="Times New Roman" w:hAnsi="Helv" w:cs="Helv"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B">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0">
    <w:nsid w:val="28C836B6"/>
    <w:multiLevelType w:val="hybridMultilevel"/>
    <w:tmpl w:val="6100B810"/>
    <w:lvl w:ilvl="0" w:tplc="BAFC0F82">
      <w:start w:val="3"/>
      <w:numFmt w:val="bullet"/>
      <w:lvlText w:val="-"/>
      <w:lvlJc w:val="left"/>
      <w:pPr>
        <w:ind w:left="900" w:hanging="360"/>
      </w:pPr>
      <w:rPr>
        <w:rFonts w:ascii="Calibri" w:eastAsia="Times New Roman" w:hAnsi="Calibri" w:cstheme="minorHAns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1">
    <w:nsid w:val="29A43759"/>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2">
    <w:nsid w:val="2A4F4869"/>
    <w:multiLevelType w:val="hybridMultilevel"/>
    <w:tmpl w:val="4476C8B4"/>
    <w:lvl w:ilvl="0" w:tplc="BAFC0F82">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356353"/>
    <w:multiLevelType w:val="hybridMultilevel"/>
    <w:tmpl w:val="82A0D59E"/>
    <w:lvl w:ilvl="0" w:tplc="4290ED26">
      <w:start w:val="10"/>
      <w:numFmt w:val="bullet"/>
      <w:lvlText w:val=""/>
      <w:lvlJc w:val="left"/>
      <w:pPr>
        <w:tabs>
          <w:tab w:val="num" w:pos="360"/>
        </w:tabs>
        <w:ind w:left="360" w:hanging="36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6B61734"/>
    <w:multiLevelType w:val="hybridMultilevel"/>
    <w:tmpl w:val="AD02A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9E44F9"/>
    <w:multiLevelType w:val="hybridMultilevel"/>
    <w:tmpl w:val="88849794"/>
    <w:lvl w:ilvl="0" w:tplc="A80E9510">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17E4F7F"/>
    <w:multiLevelType w:val="hybridMultilevel"/>
    <w:tmpl w:val="EE20EAC4"/>
    <w:lvl w:ilvl="0" w:tplc="4290ED26">
      <w:start w:val="10"/>
      <w:numFmt w:val="bullet"/>
      <w:lvlText w:val=""/>
      <w:lvlJc w:val="left"/>
      <w:pPr>
        <w:tabs>
          <w:tab w:val="num" w:pos="360"/>
        </w:tabs>
        <w:ind w:left="360" w:hanging="36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28247D1"/>
    <w:multiLevelType w:val="hybridMultilevel"/>
    <w:tmpl w:val="6AB8AEB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9C8367D"/>
    <w:multiLevelType w:val="hybridMultilevel"/>
    <w:tmpl w:val="513E29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4E0A24E4"/>
    <w:multiLevelType w:val="hybridMultilevel"/>
    <w:tmpl w:val="EBDE46EE"/>
    <w:lvl w:ilvl="0" w:tplc="4290ED26">
      <w:start w:val="10"/>
      <w:numFmt w:val="bullet"/>
      <w:lvlText w:val=""/>
      <w:lvlJc w:val="left"/>
      <w:pPr>
        <w:tabs>
          <w:tab w:val="num" w:pos="360"/>
        </w:tabs>
        <w:ind w:left="360" w:hanging="36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1101779"/>
    <w:multiLevelType w:val="hybridMultilevel"/>
    <w:tmpl w:val="7A0C7C60"/>
    <w:lvl w:ilvl="0" w:tplc="BAFC0F82">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6A41D84"/>
    <w:multiLevelType w:val="hybridMultilevel"/>
    <w:tmpl w:val="6AB8AEB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E6C145C"/>
    <w:multiLevelType w:val="hybridMultilevel"/>
    <w:tmpl w:val="33128CAE"/>
    <w:lvl w:ilvl="0" w:tplc="89E0EDEC">
      <w:start w:val="8"/>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377FBE"/>
    <w:multiLevelType w:val="hybridMultilevel"/>
    <w:tmpl w:val="CCE4D506"/>
    <w:lvl w:ilvl="0" w:tplc="3B0A7E2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6337A5C"/>
    <w:multiLevelType w:val="hybridMultilevel"/>
    <w:tmpl w:val="25604D7C"/>
    <w:lvl w:ilvl="0" w:tplc="A80E9510">
      <w:start w:val="3"/>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nsid w:val="66353D1C"/>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6">
    <w:nsid w:val="6CC45DA6"/>
    <w:multiLevelType w:val="hybridMultilevel"/>
    <w:tmpl w:val="E4540B34"/>
    <w:lvl w:ilvl="0" w:tplc="E000E520">
      <w:start w:val="1"/>
      <w:numFmt w:val="bullet"/>
      <w:lvlText w:val="•"/>
      <w:lvlJc w:val="left"/>
      <w:pPr>
        <w:tabs>
          <w:tab w:val="num" w:pos="1428"/>
        </w:tabs>
        <w:ind w:left="1428" w:hanging="360"/>
      </w:pPr>
      <w:rPr>
        <w:rFonts w:ascii="Times New Roman" w:hAnsi="Times New Roman" w:hint="default"/>
        <w:color w:val="auto"/>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7">
    <w:nsid w:val="6E963A63"/>
    <w:multiLevelType w:val="hybridMultilevel"/>
    <w:tmpl w:val="6AD4D930"/>
    <w:lvl w:ilvl="0" w:tplc="7CF435A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624872"/>
    <w:multiLevelType w:val="singleLevel"/>
    <w:tmpl w:val="C5FE2152"/>
    <w:lvl w:ilvl="0">
      <w:start w:val="1"/>
      <w:numFmt w:val="bullet"/>
      <w:lvlText w:val=""/>
      <w:lvlJc w:val="left"/>
      <w:pPr>
        <w:tabs>
          <w:tab w:val="num" w:pos="360"/>
        </w:tabs>
        <w:ind w:left="360" w:hanging="360"/>
      </w:pPr>
      <w:rPr>
        <w:rFonts w:ascii="Symbol" w:hAnsi="Symbol" w:hint="default"/>
        <w:sz w:val="16"/>
      </w:rPr>
    </w:lvl>
  </w:abstractNum>
  <w:abstractNum w:abstractNumId="29">
    <w:nsid w:val="74AE7984"/>
    <w:multiLevelType w:val="hybridMultilevel"/>
    <w:tmpl w:val="10562FDC"/>
    <w:lvl w:ilvl="0" w:tplc="BAFC0F82">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E293BF8"/>
    <w:multiLevelType w:val="hybridMultilevel"/>
    <w:tmpl w:val="71E865AA"/>
    <w:lvl w:ilvl="0" w:tplc="E3D4BDDE">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57"/>
        <w:lvlJc w:val="left"/>
        <w:pPr>
          <w:ind w:left="357" w:hanging="357"/>
        </w:pPr>
        <w:rPr>
          <w:rFonts w:ascii="Symbol" w:hAnsi="Symbol" w:hint="default"/>
        </w:rPr>
      </w:lvl>
    </w:lvlOverride>
  </w:num>
  <w:num w:numId="2">
    <w:abstractNumId w:val="28"/>
  </w:num>
  <w:num w:numId="3">
    <w:abstractNumId w:val="2"/>
  </w:num>
  <w:num w:numId="4">
    <w:abstractNumId w:val="25"/>
  </w:num>
  <w:num w:numId="5">
    <w:abstractNumId w:val="11"/>
  </w:num>
  <w:num w:numId="6">
    <w:abstractNumId w:val="13"/>
  </w:num>
  <w:num w:numId="7">
    <w:abstractNumId w:val="19"/>
  </w:num>
  <w:num w:numId="8">
    <w:abstractNumId w:val="16"/>
  </w:num>
  <w:num w:numId="9">
    <w:abstractNumId w:val="26"/>
  </w:num>
  <w:num w:numId="10">
    <w:abstractNumId w:val="3"/>
  </w:num>
  <w:num w:numId="11">
    <w:abstractNumId w:val="9"/>
  </w:num>
  <w:num w:numId="12">
    <w:abstractNumId w:val="8"/>
  </w:num>
  <w:num w:numId="13">
    <w:abstractNumId w:val="4"/>
  </w:num>
  <w:num w:numId="14">
    <w:abstractNumId w:val="23"/>
  </w:num>
  <w:num w:numId="15">
    <w:abstractNumId w:val="6"/>
  </w:num>
  <w:num w:numId="16">
    <w:abstractNumId w:val="22"/>
  </w:num>
  <w:num w:numId="17">
    <w:abstractNumId w:val="27"/>
  </w:num>
  <w:num w:numId="18">
    <w:abstractNumId w:val="21"/>
  </w:num>
  <w:num w:numId="19">
    <w:abstractNumId w:val="18"/>
  </w:num>
  <w:num w:numId="20">
    <w:abstractNumId w:val="5"/>
  </w:num>
  <w:num w:numId="21">
    <w:abstractNumId w:val="24"/>
  </w:num>
  <w:num w:numId="22">
    <w:abstractNumId w:val="15"/>
  </w:num>
  <w:num w:numId="23">
    <w:abstractNumId w:val="30"/>
  </w:num>
  <w:num w:numId="24">
    <w:abstractNumId w:val="17"/>
  </w:num>
  <w:num w:numId="25">
    <w:abstractNumId w:val="10"/>
  </w:num>
  <w:num w:numId="26">
    <w:abstractNumId w:val="14"/>
  </w:num>
  <w:num w:numId="27">
    <w:abstractNumId w:val="20"/>
  </w:num>
  <w:num w:numId="28">
    <w:abstractNumId w:val="7"/>
  </w:num>
  <w:num w:numId="29">
    <w:abstractNumId w:val="1"/>
  </w:num>
  <w:num w:numId="30">
    <w:abstractNumId w:val="2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44"/>
    <w:rsid w:val="00002A47"/>
    <w:rsid w:val="00003C4B"/>
    <w:rsid w:val="00007D74"/>
    <w:rsid w:val="000242B8"/>
    <w:rsid w:val="00036A94"/>
    <w:rsid w:val="0004323B"/>
    <w:rsid w:val="00044A1D"/>
    <w:rsid w:val="00086E95"/>
    <w:rsid w:val="000919FF"/>
    <w:rsid w:val="000A26BD"/>
    <w:rsid w:val="000D3E3C"/>
    <w:rsid w:val="000E1ED9"/>
    <w:rsid w:val="001229D0"/>
    <w:rsid w:val="0013542B"/>
    <w:rsid w:val="00140395"/>
    <w:rsid w:val="001513DA"/>
    <w:rsid w:val="001652D2"/>
    <w:rsid w:val="00180616"/>
    <w:rsid w:val="00242D2F"/>
    <w:rsid w:val="00244A14"/>
    <w:rsid w:val="002460F5"/>
    <w:rsid w:val="00251ED1"/>
    <w:rsid w:val="00274E1B"/>
    <w:rsid w:val="00280D92"/>
    <w:rsid w:val="00290EDC"/>
    <w:rsid w:val="002D3AB5"/>
    <w:rsid w:val="002E33B1"/>
    <w:rsid w:val="002F502E"/>
    <w:rsid w:val="00304656"/>
    <w:rsid w:val="00304FD6"/>
    <w:rsid w:val="00333462"/>
    <w:rsid w:val="003336DF"/>
    <w:rsid w:val="00345181"/>
    <w:rsid w:val="00346DA2"/>
    <w:rsid w:val="003475DE"/>
    <w:rsid w:val="00356A58"/>
    <w:rsid w:val="00364D16"/>
    <w:rsid w:val="00375D8C"/>
    <w:rsid w:val="00377E01"/>
    <w:rsid w:val="003820B9"/>
    <w:rsid w:val="00385DF8"/>
    <w:rsid w:val="003A1BD4"/>
    <w:rsid w:val="003D34F5"/>
    <w:rsid w:val="003E7F9C"/>
    <w:rsid w:val="00401713"/>
    <w:rsid w:val="004118C5"/>
    <w:rsid w:val="004225D8"/>
    <w:rsid w:val="004274AB"/>
    <w:rsid w:val="00433835"/>
    <w:rsid w:val="00434880"/>
    <w:rsid w:val="00470851"/>
    <w:rsid w:val="0047404D"/>
    <w:rsid w:val="00477348"/>
    <w:rsid w:val="0049688C"/>
    <w:rsid w:val="0049723E"/>
    <w:rsid w:val="004A267D"/>
    <w:rsid w:val="004A4658"/>
    <w:rsid w:val="004C4D69"/>
    <w:rsid w:val="004C6FC2"/>
    <w:rsid w:val="004D360B"/>
    <w:rsid w:val="004E11CC"/>
    <w:rsid w:val="004E2BD8"/>
    <w:rsid w:val="004F4C31"/>
    <w:rsid w:val="004F54F9"/>
    <w:rsid w:val="00511D3F"/>
    <w:rsid w:val="00543CCA"/>
    <w:rsid w:val="00586544"/>
    <w:rsid w:val="00586DDB"/>
    <w:rsid w:val="00587B63"/>
    <w:rsid w:val="00590DC3"/>
    <w:rsid w:val="00593CEE"/>
    <w:rsid w:val="005941C9"/>
    <w:rsid w:val="00595FEA"/>
    <w:rsid w:val="005B1DAF"/>
    <w:rsid w:val="005C58CE"/>
    <w:rsid w:val="005D766F"/>
    <w:rsid w:val="005E36C0"/>
    <w:rsid w:val="005E4376"/>
    <w:rsid w:val="005F42D0"/>
    <w:rsid w:val="005F4CC3"/>
    <w:rsid w:val="005F7505"/>
    <w:rsid w:val="00625BA4"/>
    <w:rsid w:val="006321BB"/>
    <w:rsid w:val="006406A0"/>
    <w:rsid w:val="00646C24"/>
    <w:rsid w:val="00656BC8"/>
    <w:rsid w:val="006775C6"/>
    <w:rsid w:val="006C4E61"/>
    <w:rsid w:val="006D28EF"/>
    <w:rsid w:val="006F2F07"/>
    <w:rsid w:val="006F3484"/>
    <w:rsid w:val="006F454C"/>
    <w:rsid w:val="00727778"/>
    <w:rsid w:val="00740FD9"/>
    <w:rsid w:val="00755DF2"/>
    <w:rsid w:val="00764E80"/>
    <w:rsid w:val="0077562E"/>
    <w:rsid w:val="007772EF"/>
    <w:rsid w:val="00783023"/>
    <w:rsid w:val="00783EBF"/>
    <w:rsid w:val="007A2E48"/>
    <w:rsid w:val="007A32F4"/>
    <w:rsid w:val="007C0429"/>
    <w:rsid w:val="007C4F67"/>
    <w:rsid w:val="007C5C53"/>
    <w:rsid w:val="007D018C"/>
    <w:rsid w:val="007D1456"/>
    <w:rsid w:val="007D2AA1"/>
    <w:rsid w:val="007D7B0E"/>
    <w:rsid w:val="007E22F7"/>
    <w:rsid w:val="007F38AC"/>
    <w:rsid w:val="008013F9"/>
    <w:rsid w:val="008036A8"/>
    <w:rsid w:val="008220E6"/>
    <w:rsid w:val="00823C7E"/>
    <w:rsid w:val="008307AE"/>
    <w:rsid w:val="00841001"/>
    <w:rsid w:val="00851D6E"/>
    <w:rsid w:val="00863F7C"/>
    <w:rsid w:val="0087626E"/>
    <w:rsid w:val="00881E2F"/>
    <w:rsid w:val="008874E1"/>
    <w:rsid w:val="008A0860"/>
    <w:rsid w:val="008A0E25"/>
    <w:rsid w:val="008E632E"/>
    <w:rsid w:val="00900B46"/>
    <w:rsid w:val="00924435"/>
    <w:rsid w:val="009322FE"/>
    <w:rsid w:val="00941C8B"/>
    <w:rsid w:val="009431BA"/>
    <w:rsid w:val="00945B16"/>
    <w:rsid w:val="00951D36"/>
    <w:rsid w:val="0096504A"/>
    <w:rsid w:val="00967000"/>
    <w:rsid w:val="009B0F71"/>
    <w:rsid w:val="009B235C"/>
    <w:rsid w:val="009B3B2E"/>
    <w:rsid w:val="009C470C"/>
    <w:rsid w:val="009C5F62"/>
    <w:rsid w:val="009D57D0"/>
    <w:rsid w:val="009D5A6E"/>
    <w:rsid w:val="009D6FCF"/>
    <w:rsid w:val="00A05778"/>
    <w:rsid w:val="00A23B6B"/>
    <w:rsid w:val="00A51C46"/>
    <w:rsid w:val="00A62E44"/>
    <w:rsid w:val="00A76B2C"/>
    <w:rsid w:val="00A85CF9"/>
    <w:rsid w:val="00AA6618"/>
    <w:rsid w:val="00AC1811"/>
    <w:rsid w:val="00AC2A91"/>
    <w:rsid w:val="00AD00AE"/>
    <w:rsid w:val="00AD010E"/>
    <w:rsid w:val="00AD2131"/>
    <w:rsid w:val="00AD38A1"/>
    <w:rsid w:val="00AF3A3F"/>
    <w:rsid w:val="00B31D10"/>
    <w:rsid w:val="00B555FF"/>
    <w:rsid w:val="00B72E22"/>
    <w:rsid w:val="00B8481B"/>
    <w:rsid w:val="00BA696B"/>
    <w:rsid w:val="00BD5D66"/>
    <w:rsid w:val="00BF2042"/>
    <w:rsid w:val="00C04E31"/>
    <w:rsid w:val="00C24DC5"/>
    <w:rsid w:val="00C3085E"/>
    <w:rsid w:val="00C500C0"/>
    <w:rsid w:val="00C93E4F"/>
    <w:rsid w:val="00C97EE3"/>
    <w:rsid w:val="00CD23A7"/>
    <w:rsid w:val="00CD762B"/>
    <w:rsid w:val="00D140D8"/>
    <w:rsid w:val="00D16565"/>
    <w:rsid w:val="00D25AE3"/>
    <w:rsid w:val="00D25C60"/>
    <w:rsid w:val="00D33B03"/>
    <w:rsid w:val="00D37A3A"/>
    <w:rsid w:val="00D8407E"/>
    <w:rsid w:val="00D93402"/>
    <w:rsid w:val="00D97653"/>
    <w:rsid w:val="00DD162D"/>
    <w:rsid w:val="00DE14AC"/>
    <w:rsid w:val="00DF2ED3"/>
    <w:rsid w:val="00E146C7"/>
    <w:rsid w:val="00E243A8"/>
    <w:rsid w:val="00E3407A"/>
    <w:rsid w:val="00E41306"/>
    <w:rsid w:val="00E47227"/>
    <w:rsid w:val="00E5398A"/>
    <w:rsid w:val="00E61A76"/>
    <w:rsid w:val="00E62A5B"/>
    <w:rsid w:val="00E66E69"/>
    <w:rsid w:val="00E81AAA"/>
    <w:rsid w:val="00E8280B"/>
    <w:rsid w:val="00E920F6"/>
    <w:rsid w:val="00E97F23"/>
    <w:rsid w:val="00EA1772"/>
    <w:rsid w:val="00EB0148"/>
    <w:rsid w:val="00ED770D"/>
    <w:rsid w:val="00EF1248"/>
    <w:rsid w:val="00F20A73"/>
    <w:rsid w:val="00F210F1"/>
    <w:rsid w:val="00F21AAA"/>
    <w:rsid w:val="00F3760E"/>
    <w:rsid w:val="00F40441"/>
    <w:rsid w:val="00F46C95"/>
    <w:rsid w:val="00F56B63"/>
    <w:rsid w:val="00F67682"/>
    <w:rsid w:val="00F71EE4"/>
    <w:rsid w:val="00F7262C"/>
    <w:rsid w:val="00F72710"/>
    <w:rsid w:val="00F804D1"/>
    <w:rsid w:val="00F95897"/>
    <w:rsid w:val="00FA0ABB"/>
    <w:rsid w:val="00FE1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Titre1">
    <w:name w:val="heading 1"/>
    <w:basedOn w:val="Normal"/>
    <w:next w:val="Normal"/>
    <w:qFormat/>
    <w:pPr>
      <w:keepNext/>
      <w:ind w:left="426" w:hanging="426"/>
      <w:jc w:val="center"/>
      <w:outlineLvl w:val="0"/>
    </w:pPr>
    <w:rPr>
      <w:b/>
      <w:sz w:val="22"/>
    </w:rPr>
  </w:style>
  <w:style w:type="paragraph" w:styleId="Titre2">
    <w:name w:val="heading 2"/>
    <w:basedOn w:val="Normal"/>
    <w:next w:val="Normal"/>
    <w:link w:val="Titre2Car"/>
    <w:qFormat/>
    <w:pPr>
      <w:keepNext/>
      <w:jc w:val="center"/>
      <w:outlineLvl w:val="1"/>
    </w:pPr>
    <w:rPr>
      <w:b/>
    </w:rPr>
  </w:style>
  <w:style w:type="paragraph" w:styleId="Titre7">
    <w:name w:val="heading 7"/>
    <w:basedOn w:val="Normal"/>
    <w:next w:val="Normal"/>
    <w:link w:val="Titre7Car"/>
    <w:uiPriority w:val="9"/>
    <w:semiHidden/>
    <w:unhideWhenUsed/>
    <w:qFormat/>
    <w:rsid w:val="006321B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2">
    <w:name w:val="normal2"/>
    <w:pPr>
      <w:spacing w:after="240"/>
      <w:ind w:left="567"/>
      <w:jc w:val="both"/>
    </w:pPr>
    <w:rPr>
      <w:rFonts w:ascii="Arial" w:hAnsi="Arial"/>
    </w:rPr>
  </w:style>
  <w:style w:type="paragraph" w:styleId="En-tte">
    <w:name w:val="header"/>
    <w:basedOn w:val="Normal"/>
    <w:link w:val="En-tteCar"/>
    <w:uiPriority w:val="99"/>
    <w:pPr>
      <w:tabs>
        <w:tab w:val="center" w:pos="4819"/>
        <w:tab w:val="right" w:pos="9071"/>
      </w:tabs>
      <w:jc w:val="both"/>
    </w:pPr>
    <w:rPr>
      <w:rFonts w:ascii="Times New Roman" w:hAnsi="Times New Roman"/>
      <w:sz w:val="24"/>
    </w:rPr>
  </w:style>
  <w:style w:type="paragraph" w:styleId="Pieddepage">
    <w:name w:val="footer"/>
    <w:basedOn w:val="Normal"/>
    <w:pPr>
      <w:tabs>
        <w:tab w:val="center" w:pos="4819"/>
        <w:tab w:val="right" w:pos="9071"/>
      </w:tabs>
      <w:jc w:val="both"/>
    </w:pPr>
    <w:rPr>
      <w:rFonts w:ascii="Times New Roman" w:hAnsi="Times New Roman"/>
      <w:sz w:val="24"/>
    </w:rPr>
  </w:style>
  <w:style w:type="table" w:styleId="Grilledutableau">
    <w:name w:val="Table Grid"/>
    <w:basedOn w:val="TableauNormal"/>
    <w:rsid w:val="007C0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E4376"/>
    <w:rPr>
      <w:rFonts w:ascii="Tahoma" w:hAnsi="Tahoma" w:cs="Tahoma"/>
      <w:sz w:val="16"/>
      <w:szCs w:val="16"/>
    </w:rPr>
  </w:style>
  <w:style w:type="character" w:customStyle="1" w:styleId="Titre2Car">
    <w:name w:val="Titre 2 Car"/>
    <w:link w:val="Titre2"/>
    <w:rsid w:val="009B235C"/>
    <w:rPr>
      <w:rFonts w:ascii="Arial" w:hAnsi="Arial"/>
      <w:b/>
    </w:rPr>
  </w:style>
  <w:style w:type="paragraph" w:styleId="Paragraphedeliste">
    <w:name w:val="List Paragraph"/>
    <w:basedOn w:val="Normal"/>
    <w:uiPriority w:val="34"/>
    <w:qFormat/>
    <w:rsid w:val="00434880"/>
    <w:pPr>
      <w:ind w:left="720"/>
      <w:contextualSpacing/>
    </w:pPr>
  </w:style>
  <w:style w:type="character" w:styleId="Lienhypertexte">
    <w:name w:val="Hyperlink"/>
    <w:basedOn w:val="Policepardfaut"/>
    <w:uiPriority w:val="99"/>
    <w:unhideWhenUsed/>
    <w:rsid w:val="00B555FF"/>
    <w:rPr>
      <w:color w:val="0000FF" w:themeColor="hyperlink"/>
      <w:u w:val="single"/>
    </w:rPr>
  </w:style>
  <w:style w:type="character" w:customStyle="1" w:styleId="Titre7Car">
    <w:name w:val="Titre 7 Car"/>
    <w:basedOn w:val="Policepardfaut"/>
    <w:link w:val="Titre7"/>
    <w:uiPriority w:val="9"/>
    <w:semiHidden/>
    <w:rsid w:val="006321BB"/>
    <w:rPr>
      <w:rFonts w:asciiTheme="majorHAnsi" w:eastAsiaTheme="majorEastAsia" w:hAnsiTheme="majorHAnsi" w:cstheme="majorBidi"/>
      <w:i/>
      <w:iCs/>
      <w:color w:val="404040" w:themeColor="text1" w:themeTint="BF"/>
    </w:rPr>
  </w:style>
  <w:style w:type="paragraph" w:customStyle="1" w:styleId="Default">
    <w:name w:val="Default"/>
    <w:rsid w:val="00D33B03"/>
    <w:pPr>
      <w:autoSpaceDE w:val="0"/>
      <w:autoSpaceDN w:val="0"/>
      <w:adjustRightInd w:val="0"/>
    </w:pPr>
    <w:rPr>
      <w:rFonts w:ascii="Segoe UI" w:hAnsi="Segoe UI" w:cs="Segoe UI"/>
      <w:color w:val="000000"/>
      <w:sz w:val="24"/>
      <w:szCs w:val="24"/>
    </w:rPr>
  </w:style>
  <w:style w:type="character" w:customStyle="1" w:styleId="En-tteCar">
    <w:name w:val="En-tête Car"/>
    <w:basedOn w:val="Policepardfaut"/>
    <w:link w:val="En-tte"/>
    <w:uiPriority w:val="99"/>
    <w:rsid w:val="00B31D1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Titre1">
    <w:name w:val="heading 1"/>
    <w:basedOn w:val="Normal"/>
    <w:next w:val="Normal"/>
    <w:qFormat/>
    <w:pPr>
      <w:keepNext/>
      <w:ind w:left="426" w:hanging="426"/>
      <w:jc w:val="center"/>
      <w:outlineLvl w:val="0"/>
    </w:pPr>
    <w:rPr>
      <w:b/>
      <w:sz w:val="22"/>
    </w:rPr>
  </w:style>
  <w:style w:type="paragraph" w:styleId="Titre2">
    <w:name w:val="heading 2"/>
    <w:basedOn w:val="Normal"/>
    <w:next w:val="Normal"/>
    <w:link w:val="Titre2Car"/>
    <w:qFormat/>
    <w:pPr>
      <w:keepNext/>
      <w:jc w:val="center"/>
      <w:outlineLvl w:val="1"/>
    </w:pPr>
    <w:rPr>
      <w:b/>
    </w:rPr>
  </w:style>
  <w:style w:type="paragraph" w:styleId="Titre7">
    <w:name w:val="heading 7"/>
    <w:basedOn w:val="Normal"/>
    <w:next w:val="Normal"/>
    <w:link w:val="Titre7Car"/>
    <w:uiPriority w:val="9"/>
    <w:semiHidden/>
    <w:unhideWhenUsed/>
    <w:qFormat/>
    <w:rsid w:val="006321B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2">
    <w:name w:val="normal2"/>
    <w:pPr>
      <w:spacing w:after="240"/>
      <w:ind w:left="567"/>
      <w:jc w:val="both"/>
    </w:pPr>
    <w:rPr>
      <w:rFonts w:ascii="Arial" w:hAnsi="Arial"/>
    </w:rPr>
  </w:style>
  <w:style w:type="paragraph" w:styleId="En-tte">
    <w:name w:val="header"/>
    <w:basedOn w:val="Normal"/>
    <w:link w:val="En-tteCar"/>
    <w:uiPriority w:val="99"/>
    <w:pPr>
      <w:tabs>
        <w:tab w:val="center" w:pos="4819"/>
        <w:tab w:val="right" w:pos="9071"/>
      </w:tabs>
      <w:jc w:val="both"/>
    </w:pPr>
    <w:rPr>
      <w:rFonts w:ascii="Times New Roman" w:hAnsi="Times New Roman"/>
      <w:sz w:val="24"/>
    </w:rPr>
  </w:style>
  <w:style w:type="paragraph" w:styleId="Pieddepage">
    <w:name w:val="footer"/>
    <w:basedOn w:val="Normal"/>
    <w:pPr>
      <w:tabs>
        <w:tab w:val="center" w:pos="4819"/>
        <w:tab w:val="right" w:pos="9071"/>
      </w:tabs>
      <w:jc w:val="both"/>
    </w:pPr>
    <w:rPr>
      <w:rFonts w:ascii="Times New Roman" w:hAnsi="Times New Roman"/>
      <w:sz w:val="24"/>
    </w:rPr>
  </w:style>
  <w:style w:type="table" w:styleId="Grilledutableau">
    <w:name w:val="Table Grid"/>
    <w:basedOn w:val="TableauNormal"/>
    <w:rsid w:val="007C0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E4376"/>
    <w:rPr>
      <w:rFonts w:ascii="Tahoma" w:hAnsi="Tahoma" w:cs="Tahoma"/>
      <w:sz w:val="16"/>
      <w:szCs w:val="16"/>
    </w:rPr>
  </w:style>
  <w:style w:type="character" w:customStyle="1" w:styleId="Titre2Car">
    <w:name w:val="Titre 2 Car"/>
    <w:link w:val="Titre2"/>
    <w:rsid w:val="009B235C"/>
    <w:rPr>
      <w:rFonts w:ascii="Arial" w:hAnsi="Arial"/>
      <w:b/>
    </w:rPr>
  </w:style>
  <w:style w:type="paragraph" w:styleId="Paragraphedeliste">
    <w:name w:val="List Paragraph"/>
    <w:basedOn w:val="Normal"/>
    <w:uiPriority w:val="34"/>
    <w:qFormat/>
    <w:rsid w:val="00434880"/>
    <w:pPr>
      <w:ind w:left="720"/>
      <w:contextualSpacing/>
    </w:pPr>
  </w:style>
  <w:style w:type="character" w:styleId="Lienhypertexte">
    <w:name w:val="Hyperlink"/>
    <w:basedOn w:val="Policepardfaut"/>
    <w:uiPriority w:val="99"/>
    <w:unhideWhenUsed/>
    <w:rsid w:val="00B555FF"/>
    <w:rPr>
      <w:color w:val="0000FF" w:themeColor="hyperlink"/>
      <w:u w:val="single"/>
    </w:rPr>
  </w:style>
  <w:style w:type="character" w:customStyle="1" w:styleId="Titre7Car">
    <w:name w:val="Titre 7 Car"/>
    <w:basedOn w:val="Policepardfaut"/>
    <w:link w:val="Titre7"/>
    <w:uiPriority w:val="9"/>
    <w:semiHidden/>
    <w:rsid w:val="006321BB"/>
    <w:rPr>
      <w:rFonts w:asciiTheme="majorHAnsi" w:eastAsiaTheme="majorEastAsia" w:hAnsiTheme="majorHAnsi" w:cstheme="majorBidi"/>
      <w:i/>
      <w:iCs/>
      <w:color w:val="404040" w:themeColor="text1" w:themeTint="BF"/>
    </w:rPr>
  </w:style>
  <w:style w:type="paragraph" w:customStyle="1" w:styleId="Default">
    <w:name w:val="Default"/>
    <w:rsid w:val="00D33B03"/>
    <w:pPr>
      <w:autoSpaceDE w:val="0"/>
      <w:autoSpaceDN w:val="0"/>
      <w:adjustRightInd w:val="0"/>
    </w:pPr>
    <w:rPr>
      <w:rFonts w:ascii="Segoe UI" w:hAnsi="Segoe UI" w:cs="Segoe UI"/>
      <w:color w:val="000000"/>
      <w:sz w:val="24"/>
      <w:szCs w:val="24"/>
    </w:rPr>
  </w:style>
  <w:style w:type="character" w:customStyle="1" w:styleId="En-tteCar">
    <w:name w:val="En-tête Car"/>
    <w:basedOn w:val="Policepardfaut"/>
    <w:link w:val="En-tte"/>
    <w:uiPriority w:val="99"/>
    <w:rsid w:val="00B31D1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D8F5-7B77-4EEE-92D1-EA9E8104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4</Pages>
  <Words>1731</Words>
  <Characters>9525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PROGRAMME</vt:lpstr>
    </vt:vector>
  </TitlesOfParts>
  <Company>TEC</Company>
  <LinksUpToDate>false</LinksUpToDate>
  <CharactersWithSpaces>11234</CharactersWithSpaces>
  <SharedDoc>false</SharedDoc>
  <HLinks>
    <vt:vector size="6" baseType="variant">
      <vt:variant>
        <vt:i4>458789</vt:i4>
      </vt:variant>
      <vt:variant>
        <vt:i4>-1</vt:i4>
      </vt:variant>
      <vt:variant>
        <vt:i4>2049</vt:i4>
      </vt:variant>
      <vt:variant>
        <vt:i4>1</vt:i4>
      </vt:variant>
      <vt:variant>
        <vt:lpwstr>S:\BASE VIRGINIE-BEATRIX\2011\PI\PI 2011\::Logo USH  quadri.gif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dc:title>
  <dc:creator>dominique.bresard@union-habitat.org</dc:creator>
  <cp:lastModifiedBy>jean nika</cp:lastModifiedBy>
  <cp:revision>12</cp:revision>
  <cp:lastPrinted>2014-12-18T08:41:00Z</cp:lastPrinted>
  <dcterms:created xsi:type="dcterms:W3CDTF">2014-12-16T16:11:00Z</dcterms:created>
  <dcterms:modified xsi:type="dcterms:W3CDTF">2015-01-23T10:35:00Z</dcterms:modified>
</cp:coreProperties>
</file>