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697A" w:rsidRDefault="00A34A63">
      <w:r>
        <w:rPr>
          <w:b/>
          <w:noProof/>
          <w:lang w:eastAsia="fr-FR"/>
        </w:rPr>
        <w:drawing>
          <wp:anchor distT="0" distB="0" distL="114935" distR="114935" simplePos="0" relativeHeight="251656192" behindDoc="1" locked="0" layoutInCell="1" allowOverlap="1">
            <wp:simplePos x="0" y="0"/>
            <wp:positionH relativeFrom="column">
              <wp:posOffset>-708660</wp:posOffset>
            </wp:positionH>
            <wp:positionV relativeFrom="paragraph">
              <wp:posOffset>-204470</wp:posOffset>
            </wp:positionV>
            <wp:extent cx="2757805" cy="694055"/>
            <wp:effectExtent l="0" t="0" r="1079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935" distR="114935" simplePos="0" relativeHeight="251655168" behindDoc="1" locked="0" layoutInCell="1" allowOverlap="1">
            <wp:simplePos x="0" y="0"/>
            <wp:positionH relativeFrom="column">
              <wp:posOffset>5186680</wp:posOffset>
            </wp:positionH>
            <wp:positionV relativeFrom="paragraph">
              <wp:posOffset>-551180</wp:posOffset>
            </wp:positionV>
            <wp:extent cx="977265" cy="12534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3668" w:rsidRDefault="000C3668"/>
    <w:p w:rsidR="000C3668" w:rsidRDefault="000C3668"/>
    <w:p w:rsidR="00695C6D" w:rsidRDefault="00695C6D"/>
    <w:p w:rsidR="00695C6D" w:rsidRDefault="00695C6D"/>
    <w:p w:rsidR="00623740" w:rsidRDefault="00623740"/>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Appel à projets</w:t>
      </w:r>
    </w:p>
    <w:p w:rsidR="000C3668" w:rsidRDefault="000C3668" w:rsidP="000C3668">
      <w:pPr>
        <w:pBdr>
          <w:top w:val="single" w:sz="4" w:space="1" w:color="000000"/>
          <w:left w:val="single" w:sz="4" w:space="4" w:color="000000"/>
          <w:bottom w:val="single" w:sz="4" w:space="1" w:color="000000"/>
          <w:right w:val="single" w:sz="4" w:space="0" w:color="000000"/>
        </w:pBdr>
        <w:jc w:val="center"/>
        <w:rPr>
          <w:b/>
        </w:rPr>
      </w:pPr>
      <w:r>
        <w:rPr>
          <w:b/>
        </w:rPr>
        <w:t>Mise en place de 10 000 logements HLM accompagnés</w:t>
      </w:r>
    </w:p>
    <w:p w:rsidR="000C3668" w:rsidRDefault="000C3668" w:rsidP="000C3668">
      <w:pPr>
        <w:pBdr>
          <w:top w:val="single" w:sz="4" w:space="1" w:color="000000"/>
          <w:left w:val="single" w:sz="4" w:space="4" w:color="000000"/>
          <w:bottom w:val="single" w:sz="4" w:space="1" w:color="000000"/>
          <w:right w:val="single" w:sz="4" w:space="0" w:color="000000"/>
        </w:pBdr>
        <w:jc w:val="center"/>
      </w:pPr>
      <w:r>
        <w:rPr>
          <w:b/>
        </w:rPr>
        <w:t>Présentation synthétique du projet</w:t>
      </w:r>
    </w:p>
    <w:p w:rsidR="000C3668" w:rsidRDefault="000C3668"/>
    <w:p w:rsidR="00AD697A" w:rsidRPr="002D2E08" w:rsidRDefault="00AD697A">
      <w:pPr>
        <w:rPr>
          <w:rFonts w:ascii="Gill Sans MT" w:hAnsi="Gill Sans MT"/>
          <w:sz w:val="20"/>
          <w:szCs w:val="20"/>
        </w:rPr>
      </w:pPr>
      <w:r>
        <w:rPr>
          <w:b/>
        </w:rPr>
        <w:t>Localisation du projet :</w:t>
      </w:r>
      <w:r w:rsidR="001A7D9D">
        <w:rPr>
          <w:b/>
        </w:rPr>
        <w:t xml:space="preserve"> </w:t>
      </w:r>
      <w:r w:rsidR="001A7D9D" w:rsidRPr="001A7D9D">
        <w:t>P</w:t>
      </w:r>
      <w:r w:rsidR="001A7D9D">
        <w:rPr>
          <w:rFonts w:ascii="Gill Sans MT" w:hAnsi="Gill Sans MT"/>
          <w:sz w:val="20"/>
          <w:szCs w:val="20"/>
        </w:rPr>
        <w:t>atrimoine ICF Habitat La Sablière - départements 92 et</w:t>
      </w:r>
      <w:r w:rsidR="00761EF3" w:rsidRPr="002D2E08">
        <w:rPr>
          <w:rFonts w:ascii="Gill Sans MT" w:hAnsi="Gill Sans MT"/>
          <w:sz w:val="20"/>
          <w:szCs w:val="20"/>
        </w:rPr>
        <w:t xml:space="preserve"> 95</w:t>
      </w:r>
    </w:p>
    <w:p w:rsidR="00AD697A" w:rsidRDefault="00AD697A">
      <w:pPr>
        <w:rPr>
          <w:b/>
        </w:rPr>
      </w:pPr>
      <w:r>
        <w:rPr>
          <w:b/>
        </w:rPr>
        <w:t>Nom du projet :</w:t>
      </w:r>
      <w:r>
        <w:t xml:space="preserve"> </w:t>
      </w:r>
      <w:r w:rsidR="004F56F9">
        <w:t>«</w:t>
      </w:r>
      <w:r w:rsidR="00003946">
        <w:rPr>
          <w:rFonts w:ascii="Gill Sans MT" w:hAnsi="Gill Sans MT"/>
          <w:sz w:val="20"/>
          <w:szCs w:val="20"/>
        </w:rPr>
        <w:t>M</w:t>
      </w:r>
      <w:r w:rsidR="004F56F9">
        <w:rPr>
          <w:rFonts w:ascii="Gill Sans MT" w:hAnsi="Gill Sans MT"/>
          <w:sz w:val="20"/>
          <w:szCs w:val="20"/>
        </w:rPr>
        <w:t>aintien et contact</w:t>
      </w:r>
      <w:r w:rsidR="00A34A63">
        <w:rPr>
          <w:rFonts w:ascii="Gill Sans MT" w:hAnsi="Gill Sans MT"/>
          <w:sz w:val="20"/>
          <w:szCs w:val="20"/>
        </w:rPr>
        <w:t xml:space="preserve"> » </w:t>
      </w:r>
    </w:p>
    <w:p w:rsidR="00AD697A" w:rsidRPr="002D2E08" w:rsidRDefault="00AD697A">
      <w:pPr>
        <w:rPr>
          <w:rFonts w:ascii="Gill Sans MT" w:hAnsi="Gill Sans MT"/>
          <w:sz w:val="20"/>
          <w:szCs w:val="20"/>
        </w:rPr>
      </w:pPr>
      <w:r>
        <w:rPr>
          <w:b/>
        </w:rPr>
        <w:t>Statut et nom du ou des porteur(s) du projet :</w:t>
      </w:r>
      <w:r>
        <w:rPr>
          <w:i/>
        </w:rPr>
        <w:t xml:space="preserve"> </w:t>
      </w:r>
      <w:r w:rsidR="00761EF3" w:rsidRPr="002D2E08">
        <w:rPr>
          <w:rFonts w:ascii="Gill Sans MT" w:hAnsi="Gill Sans MT"/>
          <w:sz w:val="20"/>
          <w:szCs w:val="20"/>
        </w:rPr>
        <w:t xml:space="preserve">ICF Habitat La Sablière </w:t>
      </w:r>
      <w:r w:rsidR="001A7D9D">
        <w:rPr>
          <w:rFonts w:ascii="Gill Sans MT" w:hAnsi="Gill Sans MT"/>
          <w:sz w:val="20"/>
          <w:szCs w:val="20"/>
        </w:rPr>
        <w:t xml:space="preserve">/ </w:t>
      </w:r>
      <w:r w:rsidR="00761EF3" w:rsidRPr="002D2E08">
        <w:rPr>
          <w:rFonts w:ascii="Gill Sans MT" w:hAnsi="Gill Sans MT"/>
          <w:sz w:val="20"/>
          <w:szCs w:val="20"/>
        </w:rPr>
        <w:t>Association FREHA</w:t>
      </w:r>
    </w:p>
    <w:p w:rsidR="00AD697A" w:rsidRDefault="00AD697A">
      <w:pPr>
        <w:rPr>
          <w:i/>
        </w:rPr>
      </w:pPr>
      <w:r>
        <w:rPr>
          <w:b/>
        </w:rPr>
        <w:t>Descriptif sommaire du projet et objectifs poursuivis :</w:t>
      </w:r>
      <w:r>
        <w:rPr>
          <w:i/>
        </w:rPr>
        <w:t xml:space="preserve"> </w:t>
      </w:r>
    </w:p>
    <w:p w:rsidR="00520ED1" w:rsidRDefault="00520ED1" w:rsidP="001A7D9D">
      <w:pPr>
        <w:jc w:val="both"/>
        <w:rPr>
          <w:rFonts w:ascii="Gill Sans MT" w:hAnsi="Gill Sans MT"/>
          <w:sz w:val="20"/>
          <w:szCs w:val="20"/>
        </w:rPr>
      </w:pPr>
    </w:p>
    <w:p w:rsidR="00520ED1" w:rsidRPr="0099520B" w:rsidRDefault="00520ED1" w:rsidP="001A7D9D">
      <w:pPr>
        <w:jc w:val="both"/>
        <w:rPr>
          <w:sz w:val="20"/>
          <w:szCs w:val="20"/>
        </w:rPr>
      </w:pPr>
    </w:p>
    <w:p w:rsidR="001A7D9D" w:rsidRPr="0099520B" w:rsidRDefault="00623740" w:rsidP="001A7D9D">
      <w:pPr>
        <w:jc w:val="both"/>
        <w:rPr>
          <w:sz w:val="20"/>
          <w:szCs w:val="20"/>
        </w:rPr>
      </w:pPr>
      <w:r>
        <w:rPr>
          <w:sz w:val="20"/>
          <w:szCs w:val="20"/>
        </w:rPr>
        <w:t>D</w:t>
      </w:r>
      <w:r w:rsidR="001A7D9D" w:rsidRPr="0099520B">
        <w:rPr>
          <w:sz w:val="20"/>
          <w:szCs w:val="20"/>
        </w:rPr>
        <w:t>ans le cadre de l’appel à Projet des 10 000 logements accompagnés, ICF Habitat La Sablière souhaite s’en</w:t>
      </w:r>
      <w:r w:rsidR="00AB716E" w:rsidRPr="0099520B">
        <w:rPr>
          <w:sz w:val="20"/>
          <w:szCs w:val="20"/>
        </w:rPr>
        <w:t>gager avec l’association FREHA</w:t>
      </w:r>
      <w:r>
        <w:rPr>
          <w:sz w:val="20"/>
          <w:szCs w:val="20"/>
        </w:rPr>
        <w:t xml:space="preserve">, dans un nouveau partenariat, </w:t>
      </w:r>
      <w:r w:rsidR="00AB716E" w:rsidRPr="0099520B">
        <w:rPr>
          <w:sz w:val="20"/>
          <w:szCs w:val="20"/>
        </w:rPr>
        <w:t xml:space="preserve"> afin de maintenir</w:t>
      </w:r>
      <w:r w:rsidR="00520ED1" w:rsidRPr="0099520B">
        <w:rPr>
          <w:sz w:val="20"/>
          <w:szCs w:val="20"/>
        </w:rPr>
        <w:t xml:space="preserve"> </w:t>
      </w:r>
      <w:r w:rsidR="00AB716E" w:rsidRPr="0099520B">
        <w:rPr>
          <w:sz w:val="20"/>
          <w:szCs w:val="20"/>
        </w:rPr>
        <w:t xml:space="preserve">dans leur logement et par le </w:t>
      </w:r>
      <w:r w:rsidR="00520ED1" w:rsidRPr="0099520B">
        <w:rPr>
          <w:sz w:val="20"/>
          <w:szCs w:val="20"/>
        </w:rPr>
        <w:t>contact</w:t>
      </w:r>
      <w:r>
        <w:rPr>
          <w:sz w:val="20"/>
          <w:szCs w:val="20"/>
        </w:rPr>
        <w:t xml:space="preserve"> d</w:t>
      </w:r>
      <w:r w:rsidR="00AB716E" w:rsidRPr="0099520B">
        <w:rPr>
          <w:sz w:val="20"/>
          <w:szCs w:val="20"/>
        </w:rPr>
        <w:t xml:space="preserve">es ménages </w:t>
      </w:r>
      <w:r>
        <w:rPr>
          <w:sz w:val="20"/>
          <w:szCs w:val="20"/>
        </w:rPr>
        <w:t>en situation de fragilité et/ou de décrochage.</w:t>
      </w:r>
    </w:p>
    <w:p w:rsidR="0099520B" w:rsidRPr="0099520B" w:rsidRDefault="0099520B" w:rsidP="001A7D9D">
      <w:pPr>
        <w:jc w:val="both"/>
        <w:rPr>
          <w:sz w:val="20"/>
          <w:szCs w:val="20"/>
        </w:rPr>
      </w:pPr>
    </w:p>
    <w:p w:rsidR="0099520B" w:rsidRPr="0099520B" w:rsidRDefault="0099520B" w:rsidP="001A7D9D">
      <w:pPr>
        <w:jc w:val="both"/>
        <w:rPr>
          <w:sz w:val="20"/>
          <w:szCs w:val="20"/>
        </w:rPr>
      </w:pPr>
      <w:r w:rsidRPr="0099520B">
        <w:rPr>
          <w:sz w:val="20"/>
          <w:szCs w:val="20"/>
        </w:rPr>
        <w:t>Les objectifs principaux recherchés sont :</w:t>
      </w:r>
    </w:p>
    <w:p w:rsidR="001A7D9D" w:rsidRPr="0099520B" w:rsidRDefault="001A7D9D">
      <w:pPr>
        <w:rPr>
          <w:sz w:val="20"/>
          <w:szCs w:val="20"/>
        </w:rPr>
      </w:pPr>
    </w:p>
    <w:p w:rsidR="00761EF3" w:rsidRPr="0099520B" w:rsidRDefault="00761EF3" w:rsidP="00761EF3">
      <w:pPr>
        <w:numPr>
          <w:ilvl w:val="0"/>
          <w:numId w:val="1"/>
        </w:numPr>
        <w:suppressAutoHyphens w:val="0"/>
        <w:jc w:val="both"/>
        <w:rPr>
          <w:sz w:val="20"/>
          <w:szCs w:val="20"/>
        </w:rPr>
      </w:pPr>
      <w:r w:rsidRPr="0099520B">
        <w:rPr>
          <w:sz w:val="20"/>
          <w:szCs w:val="20"/>
        </w:rPr>
        <w:t xml:space="preserve">Sécuriser les ménages fragilisés par un parcours d’habitat précaire ou institutionnel dès la décision de la CAL </w:t>
      </w:r>
      <w:r w:rsidR="002D2E08" w:rsidRPr="0099520B">
        <w:rPr>
          <w:sz w:val="20"/>
          <w:szCs w:val="20"/>
        </w:rPr>
        <w:t>d’ICF Habitat La Sablière</w:t>
      </w:r>
      <w:r w:rsidR="00623740">
        <w:rPr>
          <w:sz w:val="20"/>
          <w:szCs w:val="20"/>
        </w:rPr>
        <w:t>, en adaptant un accompagnement spécifique</w:t>
      </w:r>
      <w:r w:rsidR="0099520B">
        <w:rPr>
          <w:sz w:val="20"/>
          <w:szCs w:val="20"/>
        </w:rPr>
        <w:t>.</w:t>
      </w:r>
    </w:p>
    <w:p w:rsidR="00761EF3" w:rsidRPr="0099520B" w:rsidRDefault="00761EF3" w:rsidP="00761EF3">
      <w:pPr>
        <w:numPr>
          <w:ilvl w:val="0"/>
          <w:numId w:val="1"/>
        </w:numPr>
        <w:suppressAutoHyphens w:val="0"/>
        <w:jc w:val="both"/>
        <w:rPr>
          <w:sz w:val="20"/>
          <w:szCs w:val="20"/>
        </w:rPr>
      </w:pPr>
      <w:r w:rsidRPr="0099520B">
        <w:rPr>
          <w:sz w:val="20"/>
          <w:szCs w:val="20"/>
        </w:rPr>
        <w:t xml:space="preserve">Recréer un lien avec les ménages en situation de décrochage et prévenir les situations </w:t>
      </w:r>
      <w:r w:rsidR="0099520B">
        <w:rPr>
          <w:sz w:val="20"/>
          <w:szCs w:val="20"/>
        </w:rPr>
        <w:t>invisibles et dramatiques.</w:t>
      </w:r>
    </w:p>
    <w:p w:rsidR="00761EF3" w:rsidRPr="0099520B" w:rsidRDefault="00761EF3" w:rsidP="00761EF3">
      <w:pPr>
        <w:numPr>
          <w:ilvl w:val="0"/>
          <w:numId w:val="1"/>
        </w:numPr>
        <w:suppressAutoHyphens w:val="0"/>
        <w:jc w:val="both"/>
        <w:rPr>
          <w:sz w:val="20"/>
          <w:szCs w:val="20"/>
        </w:rPr>
      </w:pPr>
      <w:r w:rsidRPr="0099520B">
        <w:rPr>
          <w:sz w:val="20"/>
          <w:szCs w:val="20"/>
        </w:rPr>
        <w:t>Sortir de</w:t>
      </w:r>
      <w:r w:rsidR="0099520B">
        <w:rPr>
          <w:sz w:val="20"/>
          <w:szCs w:val="20"/>
        </w:rPr>
        <w:t xml:space="preserve"> la relation conflictuelle et</w:t>
      </w:r>
      <w:r w:rsidRPr="0099520B">
        <w:rPr>
          <w:sz w:val="20"/>
          <w:szCs w:val="20"/>
        </w:rPr>
        <w:t xml:space="preserve"> rechercher des solutions adaptées en garantissant les intérêts d</w:t>
      </w:r>
      <w:r w:rsidR="002D2E08" w:rsidRPr="0099520B">
        <w:rPr>
          <w:sz w:val="20"/>
          <w:szCs w:val="20"/>
        </w:rPr>
        <w:t>’ICF Habitat La Sablière.</w:t>
      </w:r>
    </w:p>
    <w:p w:rsidR="00761EF3" w:rsidRPr="0099520B" w:rsidRDefault="00761EF3"/>
    <w:p w:rsidR="00AD697A" w:rsidRDefault="00AD697A"/>
    <w:p w:rsidR="00AD697A" w:rsidRDefault="00AD697A">
      <w:pPr>
        <w:pBdr>
          <w:top w:val="single" w:sz="4" w:space="1" w:color="000000"/>
          <w:left w:val="single" w:sz="4" w:space="4" w:color="000000"/>
          <w:bottom w:val="single" w:sz="4" w:space="1" w:color="000000"/>
          <w:right w:val="single" w:sz="4" w:space="4" w:color="000000"/>
        </w:pBdr>
        <w:jc w:val="center"/>
      </w:pPr>
      <w:r>
        <w:rPr>
          <w:b/>
        </w:rPr>
        <w:t>Publics cibles du projet</w:t>
      </w:r>
    </w:p>
    <w:p w:rsidR="002D2E08" w:rsidRDefault="002D2E08">
      <w:pPr>
        <w:rPr>
          <w:b/>
        </w:rPr>
      </w:pPr>
    </w:p>
    <w:p w:rsidR="00AD697A" w:rsidRDefault="00AD697A">
      <w:pPr>
        <w:rPr>
          <w:rFonts w:ascii="Gill Sans MT" w:hAnsi="Gill Sans MT"/>
          <w:sz w:val="20"/>
          <w:szCs w:val="20"/>
        </w:rPr>
      </w:pPr>
      <w:r w:rsidRPr="002D2E08">
        <w:rPr>
          <w:b/>
        </w:rPr>
        <w:t>Nombre de ménages accompagnés </w:t>
      </w:r>
      <w:proofErr w:type="gramStart"/>
      <w:r w:rsidRPr="002D2E08">
        <w:rPr>
          <w:b/>
        </w:rPr>
        <w:t>:</w:t>
      </w:r>
      <w:r>
        <w:rPr>
          <w:b/>
        </w:rPr>
        <w:t xml:space="preserve"> </w:t>
      </w:r>
      <w:r w:rsidR="00623740">
        <w:rPr>
          <w:b/>
        </w:rPr>
        <w:t xml:space="preserve"> </w:t>
      </w:r>
      <w:r w:rsidR="00623740">
        <w:rPr>
          <w:sz w:val="20"/>
          <w:szCs w:val="20"/>
        </w:rPr>
        <w:t>10</w:t>
      </w:r>
      <w:proofErr w:type="gramEnd"/>
      <w:r w:rsidR="00623740">
        <w:rPr>
          <w:sz w:val="20"/>
          <w:szCs w:val="20"/>
        </w:rPr>
        <w:t xml:space="preserve"> </w:t>
      </w:r>
      <w:r w:rsidR="0099520B">
        <w:rPr>
          <w:sz w:val="20"/>
          <w:szCs w:val="20"/>
        </w:rPr>
        <w:t xml:space="preserve"> locataires en place </w:t>
      </w:r>
      <w:r w:rsidR="00623740">
        <w:rPr>
          <w:sz w:val="20"/>
          <w:szCs w:val="20"/>
        </w:rPr>
        <w:t xml:space="preserve"> ICF H</w:t>
      </w:r>
      <w:r w:rsidR="0099520B">
        <w:rPr>
          <w:sz w:val="20"/>
          <w:szCs w:val="20"/>
        </w:rPr>
        <w:t>abitat La Sablière</w:t>
      </w:r>
    </w:p>
    <w:p w:rsidR="0099520B" w:rsidRDefault="0099520B"/>
    <w:p w:rsidR="00AD697A" w:rsidRDefault="00AD697A">
      <w:pPr>
        <w:jc w:val="both"/>
      </w:pPr>
      <w:r w:rsidRPr="002D2E08">
        <w:rPr>
          <w:b/>
        </w:rPr>
        <w:t>Ménages éligibles au DALO</w:t>
      </w:r>
      <w:r>
        <w:t xml:space="preserve"> oui </w:t>
      </w:r>
      <w:r w:rsidR="00623740">
        <w:t>x</w:t>
      </w:r>
      <w:r>
        <w:tab/>
      </w:r>
      <w:r w:rsidR="00623740">
        <w:tab/>
      </w:r>
      <w:r>
        <w:t>non</w:t>
      </w:r>
      <w:r w:rsidR="005D44FF">
        <w:t xml:space="preserve"> </w:t>
      </w:r>
    </w:p>
    <w:p w:rsidR="00623740" w:rsidRDefault="00AD697A">
      <w:pPr>
        <w:jc w:val="both"/>
      </w:pPr>
      <w:proofErr w:type="gramStart"/>
      <w:r>
        <w:t>ou</w:t>
      </w:r>
      <w:proofErr w:type="gramEnd"/>
      <w:r>
        <w:t xml:space="preserve"> </w:t>
      </w:r>
      <w:r w:rsidRPr="002D2E08">
        <w:rPr>
          <w:b/>
        </w:rPr>
        <w:t>des accords collectifs</w:t>
      </w:r>
      <w:r>
        <w:t xml:space="preserve">        oui </w:t>
      </w:r>
      <w:r w:rsidR="00623740">
        <w:t>x</w:t>
      </w:r>
      <w:r>
        <w:tab/>
      </w:r>
      <w:r w:rsidR="00623740">
        <w:tab/>
      </w:r>
      <w:r>
        <w:t xml:space="preserve">non </w:t>
      </w:r>
      <w:r w:rsidR="005D44FF">
        <w:t xml:space="preserve"> </w:t>
      </w:r>
    </w:p>
    <w:p w:rsidR="00AD697A" w:rsidRDefault="00AD697A">
      <w:pPr>
        <w:jc w:val="both"/>
      </w:pPr>
      <w:proofErr w:type="gramStart"/>
      <w:r>
        <w:t>ou</w:t>
      </w:r>
      <w:proofErr w:type="gramEnd"/>
      <w:r>
        <w:t xml:space="preserve"> </w:t>
      </w:r>
      <w:r w:rsidRPr="002D2E08">
        <w:rPr>
          <w:b/>
        </w:rPr>
        <w:t>relevant globalement des publics cibles du PDALPD</w:t>
      </w:r>
      <w:r>
        <w:t xml:space="preserve">     oui </w:t>
      </w:r>
      <w:r w:rsidR="005D44FF">
        <w:t>X</w:t>
      </w:r>
      <w:r>
        <w:tab/>
        <w:t xml:space="preserve">non </w:t>
      </w:r>
      <w:bookmarkStart w:id="0" w:name="__Fieldmark__52113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0"/>
    </w:p>
    <w:p w:rsidR="00AD697A" w:rsidRDefault="00AD697A">
      <w:pPr>
        <w:jc w:val="both"/>
      </w:pPr>
    </w:p>
    <w:p w:rsidR="00623740" w:rsidRDefault="00623740">
      <w:pPr>
        <w:jc w:val="both"/>
      </w:pPr>
    </w:p>
    <w:p w:rsidR="00623740" w:rsidRDefault="00623740">
      <w:pPr>
        <w:jc w:val="both"/>
      </w:pPr>
    </w:p>
    <w:p w:rsidR="00CA1524" w:rsidRDefault="00CA1524" w:rsidP="00CA1524">
      <w:pPr>
        <w:jc w:val="both"/>
        <w:rPr>
          <w:b/>
        </w:rPr>
      </w:pPr>
      <w:r w:rsidRPr="002D2E08">
        <w:rPr>
          <w:b/>
        </w:rPr>
        <w:t xml:space="preserve">Caractéristiques des publics cibles (typologie des ménages, problématiques rencontrées, ressources) : </w:t>
      </w:r>
    </w:p>
    <w:p w:rsidR="00CA1524" w:rsidRPr="002D2E08" w:rsidRDefault="00CA1524" w:rsidP="00CA1524">
      <w:pPr>
        <w:jc w:val="both"/>
        <w:rPr>
          <w:b/>
        </w:rPr>
      </w:pPr>
    </w:p>
    <w:p w:rsidR="00CA1524" w:rsidRPr="0099520B" w:rsidRDefault="00CA1524" w:rsidP="00CA1524">
      <w:pPr>
        <w:numPr>
          <w:ilvl w:val="0"/>
          <w:numId w:val="2"/>
        </w:numPr>
        <w:suppressAutoHyphens w:val="0"/>
        <w:spacing w:after="200"/>
        <w:jc w:val="both"/>
        <w:rPr>
          <w:sz w:val="20"/>
          <w:szCs w:val="20"/>
          <w:lang w:eastAsia="en-US"/>
        </w:rPr>
      </w:pPr>
      <w:r w:rsidRPr="0099520B">
        <w:rPr>
          <w:sz w:val="20"/>
          <w:szCs w:val="20"/>
          <w:lang w:eastAsia="en-US"/>
        </w:rPr>
        <w:t>Les ménages primo locataires, repérés par la Commission d’Attribution Logement, comme ayant un parcours d’habitat précaire, ou institutionnel long (</w:t>
      </w:r>
      <w:r>
        <w:rPr>
          <w:sz w:val="20"/>
          <w:szCs w:val="20"/>
          <w:lang w:eastAsia="en-US"/>
        </w:rPr>
        <w:t xml:space="preserve">sortants d’hébergement, </w:t>
      </w:r>
      <w:r w:rsidRPr="0099520B">
        <w:rPr>
          <w:sz w:val="20"/>
          <w:szCs w:val="20"/>
          <w:lang w:eastAsia="en-US"/>
        </w:rPr>
        <w:t>prise en charge ASE, sortie de MECS</w:t>
      </w:r>
      <w:r>
        <w:rPr>
          <w:sz w:val="20"/>
          <w:szCs w:val="20"/>
          <w:lang w:eastAsia="en-US"/>
        </w:rPr>
        <w:t xml:space="preserve"> (maison éducative)</w:t>
      </w:r>
      <w:r w:rsidRPr="0099520B">
        <w:rPr>
          <w:sz w:val="20"/>
          <w:szCs w:val="20"/>
          <w:lang w:eastAsia="en-US"/>
        </w:rPr>
        <w:t>, fin de prise en charge jeune majeur ...)</w:t>
      </w:r>
    </w:p>
    <w:p w:rsidR="00CA1524" w:rsidRPr="0099520B" w:rsidRDefault="00CA1524" w:rsidP="00CA1524">
      <w:pPr>
        <w:numPr>
          <w:ilvl w:val="0"/>
          <w:numId w:val="2"/>
        </w:numPr>
        <w:suppressAutoHyphens w:val="0"/>
        <w:spacing w:after="200"/>
        <w:jc w:val="both"/>
        <w:rPr>
          <w:sz w:val="20"/>
          <w:szCs w:val="20"/>
          <w:lang w:eastAsia="en-US"/>
        </w:rPr>
      </w:pPr>
      <w:r w:rsidRPr="0099520B">
        <w:rPr>
          <w:sz w:val="20"/>
          <w:szCs w:val="20"/>
          <w:lang w:eastAsia="en-US"/>
        </w:rPr>
        <w:t>Les ménages en procédure d’expulsion</w:t>
      </w:r>
      <w:r>
        <w:rPr>
          <w:sz w:val="20"/>
          <w:szCs w:val="20"/>
          <w:lang w:eastAsia="en-US"/>
        </w:rPr>
        <w:t>,</w:t>
      </w:r>
      <w:r w:rsidRPr="0099520B">
        <w:rPr>
          <w:sz w:val="20"/>
          <w:szCs w:val="20"/>
          <w:lang w:eastAsia="en-US"/>
        </w:rPr>
        <w:t xml:space="preserve"> avec </w:t>
      </w:r>
      <w:r>
        <w:rPr>
          <w:sz w:val="20"/>
          <w:szCs w:val="20"/>
          <w:lang w:eastAsia="en-US"/>
        </w:rPr>
        <w:t>lesquels</w:t>
      </w:r>
      <w:r w:rsidRPr="0099520B">
        <w:rPr>
          <w:sz w:val="20"/>
          <w:szCs w:val="20"/>
          <w:lang w:eastAsia="en-US"/>
        </w:rPr>
        <w:t xml:space="preserve"> le contact est rompu totalement</w:t>
      </w:r>
      <w:r>
        <w:rPr>
          <w:sz w:val="20"/>
          <w:szCs w:val="20"/>
          <w:lang w:eastAsia="en-US"/>
        </w:rPr>
        <w:t>, et non suivis par d’autres travailleurs sociaux</w:t>
      </w:r>
      <w:r w:rsidRPr="0099520B">
        <w:rPr>
          <w:sz w:val="20"/>
          <w:szCs w:val="20"/>
          <w:lang w:eastAsia="en-US"/>
        </w:rPr>
        <w:t>.</w:t>
      </w:r>
    </w:p>
    <w:p w:rsidR="00CA1524" w:rsidRPr="0099520B" w:rsidRDefault="00CA1524" w:rsidP="00CA1524">
      <w:pPr>
        <w:numPr>
          <w:ilvl w:val="0"/>
          <w:numId w:val="2"/>
        </w:numPr>
        <w:suppressAutoHyphens w:val="0"/>
        <w:spacing w:after="200"/>
        <w:jc w:val="both"/>
        <w:rPr>
          <w:sz w:val="20"/>
          <w:szCs w:val="20"/>
          <w:lang w:eastAsia="en-US"/>
        </w:rPr>
      </w:pPr>
      <w:r w:rsidRPr="0099520B">
        <w:rPr>
          <w:sz w:val="20"/>
          <w:szCs w:val="20"/>
          <w:lang w:eastAsia="en-US"/>
        </w:rPr>
        <w:t xml:space="preserve">Les ménages supposés </w:t>
      </w:r>
      <w:r>
        <w:rPr>
          <w:sz w:val="20"/>
          <w:szCs w:val="20"/>
          <w:lang w:eastAsia="en-US"/>
        </w:rPr>
        <w:t>en décrochage social ou « perdus</w:t>
      </w:r>
      <w:r w:rsidRPr="0099520B">
        <w:rPr>
          <w:sz w:val="20"/>
          <w:szCs w:val="20"/>
          <w:lang w:eastAsia="en-US"/>
        </w:rPr>
        <w:t xml:space="preserve"> de vue »</w:t>
      </w:r>
      <w:r>
        <w:rPr>
          <w:sz w:val="20"/>
          <w:szCs w:val="20"/>
          <w:lang w:eastAsia="en-US"/>
        </w:rPr>
        <w:t>.</w:t>
      </w:r>
    </w:p>
    <w:p w:rsidR="0099520B" w:rsidRDefault="0099520B">
      <w:pPr>
        <w:jc w:val="both"/>
        <w:rPr>
          <w:b/>
        </w:rPr>
      </w:pPr>
    </w:p>
    <w:p w:rsidR="0099520B" w:rsidRDefault="0099520B">
      <w:pPr>
        <w:jc w:val="both"/>
        <w:rPr>
          <w:b/>
        </w:rPr>
      </w:pPr>
    </w:p>
    <w:p w:rsidR="00A34A63" w:rsidRDefault="00A34A63">
      <w:pPr>
        <w:jc w:val="both"/>
        <w:rPr>
          <w:b/>
        </w:rPr>
      </w:pPr>
      <w:r>
        <w:rPr>
          <w:b/>
          <w:noProof/>
          <w:lang w:eastAsia="fr-FR"/>
        </w:rPr>
        <w:lastRenderedPageBreak/>
        <w:drawing>
          <wp:anchor distT="0" distB="0" distL="114935" distR="114935" simplePos="0" relativeHeight="251662336" behindDoc="1" locked="0" layoutInCell="1" allowOverlap="1">
            <wp:simplePos x="0" y="0"/>
            <wp:positionH relativeFrom="column">
              <wp:posOffset>5412105</wp:posOffset>
            </wp:positionH>
            <wp:positionV relativeFrom="paragraph">
              <wp:posOffset>-758825</wp:posOffset>
            </wp:positionV>
            <wp:extent cx="977265" cy="1253490"/>
            <wp:effectExtent l="0" t="0" r="0" b="0"/>
            <wp:wrapThrough wrapText="bothSides">
              <wp:wrapPolygon edited="0">
                <wp:start x="0" y="0"/>
                <wp:lineTo x="0" y="21009"/>
                <wp:lineTo x="20772" y="21009"/>
                <wp:lineTo x="20772"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935" distR="114935" simplePos="0" relativeHeight="251661312" behindDoc="1" locked="0" layoutInCell="1" allowOverlap="1">
            <wp:simplePos x="0" y="0"/>
            <wp:positionH relativeFrom="column">
              <wp:posOffset>-281305</wp:posOffset>
            </wp:positionH>
            <wp:positionV relativeFrom="paragraph">
              <wp:posOffset>-334645</wp:posOffset>
            </wp:positionV>
            <wp:extent cx="2757805" cy="694055"/>
            <wp:effectExtent l="0" t="0" r="10795" b="0"/>
            <wp:wrapThrough wrapText="bothSides">
              <wp:wrapPolygon edited="0">
                <wp:start x="0" y="0"/>
                <wp:lineTo x="0" y="20553"/>
                <wp:lineTo x="21486" y="20553"/>
                <wp:lineTo x="2148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34A63" w:rsidRDefault="00A34A63">
      <w:pPr>
        <w:jc w:val="both"/>
        <w:rPr>
          <w:b/>
        </w:rPr>
      </w:pPr>
    </w:p>
    <w:p w:rsidR="00A34A63" w:rsidRDefault="00A34A63">
      <w:pPr>
        <w:jc w:val="both"/>
        <w:rPr>
          <w:b/>
        </w:rPr>
      </w:pPr>
    </w:p>
    <w:p w:rsidR="00AD697A" w:rsidRDefault="00AD697A"/>
    <w:p w:rsidR="00AD697A" w:rsidRPr="00ED765D" w:rsidRDefault="00AD697A">
      <w:pPr>
        <w:pBdr>
          <w:top w:val="single" w:sz="4" w:space="1" w:color="000000"/>
          <w:left w:val="single" w:sz="4" w:space="4" w:color="000000"/>
          <w:bottom w:val="single" w:sz="4" w:space="1" w:color="000000"/>
          <w:right w:val="single" w:sz="4" w:space="4" w:color="000000"/>
        </w:pBdr>
        <w:jc w:val="center"/>
      </w:pPr>
      <w:r w:rsidRPr="00ED765D">
        <w:rPr>
          <w:b/>
        </w:rPr>
        <w:t>Modalités de mobilisation des logements</w:t>
      </w:r>
    </w:p>
    <w:p w:rsidR="00623740" w:rsidRDefault="00623740">
      <w:pPr>
        <w:jc w:val="both"/>
      </w:pPr>
    </w:p>
    <w:p w:rsidR="00ED765D" w:rsidRDefault="00AD697A">
      <w:pPr>
        <w:jc w:val="both"/>
      </w:pPr>
      <w:r w:rsidRPr="00ED765D">
        <w:t xml:space="preserve">Création d’une offre nouvelle </w:t>
      </w:r>
      <w:bookmarkStart w:id="1" w:name="__Fieldmark__52114_1547060978"/>
      <w:r w:rsidRPr="00ED765D">
        <w:fldChar w:fldCharType="begin">
          <w:ffData>
            <w:name w:val=""/>
            <w:enabled/>
            <w:calcOnExit w:val="0"/>
            <w:checkBox>
              <w:sizeAuto/>
              <w:default w:val="0"/>
              <w:checked w:val="0"/>
            </w:checkBox>
          </w:ffData>
        </w:fldChar>
      </w:r>
      <w:r w:rsidRPr="00ED765D">
        <w:instrText xml:space="preserve"> </w:instrText>
      </w:r>
      <w:r w:rsidR="004F56F9">
        <w:instrText>FORMCHECKBOX</w:instrText>
      </w:r>
      <w:r w:rsidRPr="00ED765D">
        <w:instrText xml:space="preserve"> </w:instrText>
      </w:r>
      <w:r w:rsidRPr="00ED765D">
        <w:fldChar w:fldCharType="end"/>
      </w:r>
      <w:bookmarkEnd w:id="1"/>
      <w:r w:rsidRPr="00ED765D">
        <w:tab/>
        <w:t xml:space="preserve">Aménagement de logement existant </w:t>
      </w:r>
      <w:bookmarkStart w:id="2" w:name="__Fieldmark__52115_1547060978"/>
      <w:r w:rsidRPr="00ED765D">
        <w:fldChar w:fldCharType="begin">
          <w:ffData>
            <w:name w:val=""/>
            <w:enabled/>
            <w:calcOnExit w:val="0"/>
            <w:checkBox>
              <w:sizeAuto/>
              <w:default w:val="0"/>
              <w:checked w:val="0"/>
            </w:checkBox>
          </w:ffData>
        </w:fldChar>
      </w:r>
      <w:r w:rsidRPr="00ED765D">
        <w:instrText xml:space="preserve"> </w:instrText>
      </w:r>
      <w:r w:rsidR="004F56F9">
        <w:instrText>FORMCHECKBOX</w:instrText>
      </w:r>
      <w:r w:rsidRPr="00ED765D">
        <w:instrText xml:space="preserve"> </w:instrText>
      </w:r>
      <w:r w:rsidRPr="00ED765D">
        <w:fldChar w:fldCharType="end"/>
      </w:r>
      <w:bookmarkEnd w:id="2"/>
      <w:r w:rsidR="00ED765D">
        <w:t xml:space="preserve">   </w:t>
      </w:r>
    </w:p>
    <w:p w:rsidR="00AD697A" w:rsidRPr="00ED765D" w:rsidRDefault="00AD697A">
      <w:pPr>
        <w:jc w:val="both"/>
      </w:pPr>
      <w:r w:rsidRPr="00ED765D">
        <w:t xml:space="preserve">Mobilisation de logements existants sans aménagement </w:t>
      </w:r>
      <w:bookmarkStart w:id="3" w:name="__Fieldmark__52117_1547060978"/>
      <w:r w:rsidR="00ED765D">
        <w:fldChar w:fldCharType="begin">
          <w:ffData>
            <w:name w:val=""/>
            <w:enabled/>
            <w:calcOnExit w:val="0"/>
            <w:checkBox>
              <w:sizeAuto/>
              <w:default w:val="0"/>
              <w:checked w:val="0"/>
            </w:checkBox>
          </w:ffData>
        </w:fldChar>
      </w:r>
      <w:r w:rsidR="00ED765D">
        <w:instrText xml:space="preserve"> </w:instrText>
      </w:r>
      <w:r w:rsidR="004F56F9">
        <w:instrText>FORMCHECKBOX</w:instrText>
      </w:r>
      <w:r w:rsidR="00ED765D">
        <w:instrText xml:space="preserve"> </w:instrText>
      </w:r>
      <w:r w:rsidR="00ED765D">
        <w:fldChar w:fldCharType="end"/>
      </w:r>
      <w:bookmarkEnd w:id="3"/>
    </w:p>
    <w:p w:rsidR="00AD697A" w:rsidRPr="00ED765D" w:rsidRDefault="00AD697A">
      <w:r w:rsidRPr="00ED765D">
        <w:t xml:space="preserve">Reclassement offre existante en offre à bas loyer </w:t>
      </w:r>
      <w:r w:rsidR="00ED765D">
        <w:fldChar w:fldCharType="begin">
          <w:ffData>
            <w:name w:val=""/>
            <w:enabled/>
            <w:calcOnExit w:val="0"/>
            <w:checkBox>
              <w:sizeAuto/>
              <w:default w:val="0"/>
              <w:checked w:val="0"/>
            </w:checkBox>
          </w:ffData>
        </w:fldChar>
      </w:r>
      <w:r w:rsidR="00ED765D">
        <w:instrText xml:space="preserve"> </w:instrText>
      </w:r>
      <w:r w:rsidR="004F56F9">
        <w:instrText>FORMCHECKBOX</w:instrText>
      </w:r>
      <w:r w:rsidR="00ED765D">
        <w:instrText xml:space="preserve"> </w:instrText>
      </w:r>
      <w:r w:rsidR="00ED765D">
        <w:fldChar w:fldCharType="end"/>
      </w:r>
    </w:p>
    <w:p w:rsidR="00AD697A" w:rsidRPr="00ED765D" w:rsidRDefault="00AD697A">
      <w:r w:rsidRPr="00C974C9">
        <w:t>Nombre de logements :</w:t>
      </w:r>
      <w:r w:rsidR="00ED765D" w:rsidRPr="00C974C9">
        <w:t xml:space="preserve"> 10 logements locataires en place</w:t>
      </w:r>
    </w:p>
    <w:p w:rsidR="00AD697A" w:rsidRPr="00ED765D" w:rsidRDefault="00AD697A">
      <w:r w:rsidRPr="00ED765D">
        <w:t>Typologie des logements :………………………………………………………………………</w:t>
      </w:r>
    </w:p>
    <w:p w:rsidR="00AD697A" w:rsidRPr="00ED765D" w:rsidRDefault="00AD697A"/>
    <w:p w:rsidR="00AD697A" w:rsidRPr="00ED765D" w:rsidRDefault="00AD697A">
      <w:pPr>
        <w:rPr>
          <w:b/>
        </w:rPr>
      </w:pPr>
      <w:r w:rsidRPr="00ED765D">
        <w:t xml:space="preserve">Modalités de réservation et d’attribution des logements : </w:t>
      </w:r>
    </w:p>
    <w:p w:rsidR="005D44FF" w:rsidRPr="00ED765D" w:rsidRDefault="00AD697A">
      <w:pPr>
        <w:shd w:val="clear" w:color="auto" w:fill="F3F3F3"/>
        <w:jc w:val="both"/>
        <w:rPr>
          <w:i/>
        </w:rPr>
      </w:pPr>
      <w:r w:rsidRPr="00ED765D">
        <w:rPr>
          <w:b/>
        </w:rPr>
        <w:t>Localisation de l’offre de logements accompagnés :</w:t>
      </w:r>
      <w:r w:rsidR="00623740">
        <w:rPr>
          <w:b/>
        </w:rPr>
        <w:t xml:space="preserve"> départements des Hauts de seine et du Val d’Oise</w:t>
      </w:r>
    </w:p>
    <w:p w:rsidR="00AD697A" w:rsidRPr="00ED765D" w:rsidRDefault="00AD697A">
      <w:pPr>
        <w:rPr>
          <w:highlight w:val="lightGray"/>
        </w:rPr>
      </w:pPr>
    </w:p>
    <w:p w:rsidR="00AD697A" w:rsidRPr="00ED765D" w:rsidRDefault="00AD697A">
      <w:pPr>
        <w:rPr>
          <w:highlight w:val="lightGray"/>
        </w:rPr>
      </w:pPr>
    </w:p>
    <w:p w:rsidR="00AD697A" w:rsidRDefault="00AD697A">
      <w:pPr>
        <w:pBdr>
          <w:top w:val="single" w:sz="4" w:space="1" w:color="000000"/>
          <w:left w:val="single" w:sz="4" w:space="4" w:color="000000"/>
          <w:bottom w:val="single" w:sz="4" w:space="1" w:color="000000"/>
          <w:right w:val="single" w:sz="4" w:space="4" w:color="000000"/>
        </w:pBdr>
        <w:jc w:val="center"/>
      </w:pPr>
      <w:r w:rsidRPr="00ED765D">
        <w:rPr>
          <w:b/>
        </w:rPr>
        <w:t>Accompagnement</w:t>
      </w:r>
    </w:p>
    <w:p w:rsidR="002D2E08" w:rsidRDefault="002D2E08">
      <w:pPr>
        <w:jc w:val="both"/>
        <w:rPr>
          <w:b/>
        </w:rPr>
      </w:pPr>
    </w:p>
    <w:p w:rsidR="00ED765D" w:rsidRPr="00ED765D" w:rsidRDefault="00AD697A">
      <w:pPr>
        <w:jc w:val="both"/>
        <w:rPr>
          <w:i/>
        </w:rPr>
      </w:pPr>
      <w:r w:rsidRPr="002D2E08">
        <w:rPr>
          <w:b/>
        </w:rPr>
        <w:t>Méthodologie de réalisation de l'accompagnement (étendue de l'accompagnement et objectifs visés, méthodes - l’aller vers, autres…-, durée et adaptabilité)</w:t>
      </w:r>
      <w:r w:rsidRPr="002D2E08">
        <w:rPr>
          <w:b/>
          <w:i/>
        </w:rPr>
        <w:t> :</w:t>
      </w:r>
      <w:r w:rsidR="002D2E08">
        <w:rPr>
          <w:i/>
        </w:rPr>
        <w:t xml:space="preserve"> </w:t>
      </w:r>
    </w:p>
    <w:p w:rsidR="00623740" w:rsidRDefault="00623740" w:rsidP="005D44FF">
      <w:pPr>
        <w:suppressAutoHyphens w:val="0"/>
        <w:jc w:val="both"/>
        <w:rPr>
          <w:sz w:val="20"/>
          <w:szCs w:val="20"/>
          <w:lang w:eastAsia="en-US"/>
        </w:rPr>
      </w:pPr>
    </w:p>
    <w:p w:rsidR="00772850" w:rsidRPr="00ED765D" w:rsidRDefault="005D44FF" w:rsidP="005D44FF">
      <w:pPr>
        <w:suppressAutoHyphens w:val="0"/>
        <w:jc w:val="both"/>
        <w:rPr>
          <w:sz w:val="20"/>
          <w:szCs w:val="20"/>
          <w:lang w:eastAsia="en-US"/>
        </w:rPr>
      </w:pPr>
      <w:r w:rsidRPr="00ED765D">
        <w:rPr>
          <w:sz w:val="20"/>
          <w:szCs w:val="20"/>
          <w:lang w:eastAsia="en-US"/>
        </w:rPr>
        <w:t xml:space="preserve">Les ménages peuvent être repérés </w:t>
      </w:r>
      <w:r w:rsidR="00772850" w:rsidRPr="00ED765D">
        <w:rPr>
          <w:sz w:val="20"/>
          <w:szCs w:val="20"/>
          <w:lang w:eastAsia="en-US"/>
        </w:rPr>
        <w:t>dès l</w:t>
      </w:r>
      <w:r w:rsidR="00623740">
        <w:rPr>
          <w:sz w:val="20"/>
          <w:szCs w:val="20"/>
          <w:lang w:eastAsia="en-US"/>
        </w:rPr>
        <w:t>’instruction des dossiers en amont de l</w:t>
      </w:r>
      <w:r w:rsidR="00772850" w:rsidRPr="00ED765D">
        <w:rPr>
          <w:sz w:val="20"/>
          <w:szCs w:val="20"/>
          <w:lang w:eastAsia="en-US"/>
        </w:rPr>
        <w:t>a commission d’attribution logement ou lors de la signature du bail</w:t>
      </w:r>
      <w:r w:rsidRPr="00ED765D">
        <w:rPr>
          <w:sz w:val="20"/>
          <w:szCs w:val="20"/>
          <w:lang w:eastAsia="en-US"/>
        </w:rPr>
        <w:t xml:space="preserve">. </w:t>
      </w:r>
    </w:p>
    <w:p w:rsidR="00772850" w:rsidRPr="00ED765D" w:rsidRDefault="00772850" w:rsidP="005D44FF">
      <w:pPr>
        <w:suppressAutoHyphens w:val="0"/>
        <w:jc w:val="both"/>
        <w:rPr>
          <w:sz w:val="20"/>
          <w:szCs w:val="20"/>
          <w:lang w:eastAsia="en-US"/>
        </w:rPr>
      </w:pPr>
      <w:r w:rsidRPr="00ED765D">
        <w:rPr>
          <w:sz w:val="20"/>
          <w:szCs w:val="20"/>
          <w:lang w:eastAsia="en-US"/>
        </w:rPr>
        <w:t>Concernant les locataires en place, ils peuvent être identifiés par l’ensemble des collaborateurs d’ICF Habitat La Sablière (personnel de proximité, gestion clientèle, service social</w:t>
      </w:r>
      <w:r w:rsidR="00ED765D" w:rsidRPr="00ED765D">
        <w:rPr>
          <w:sz w:val="20"/>
          <w:szCs w:val="20"/>
          <w:lang w:eastAsia="en-US"/>
        </w:rPr>
        <w:t xml:space="preserve"> </w:t>
      </w:r>
      <w:r w:rsidR="00ED765D">
        <w:rPr>
          <w:sz w:val="20"/>
          <w:szCs w:val="20"/>
          <w:lang w:eastAsia="en-US"/>
        </w:rPr>
        <w:t>…</w:t>
      </w:r>
      <w:r w:rsidR="00623740">
        <w:rPr>
          <w:sz w:val="20"/>
          <w:szCs w:val="20"/>
          <w:lang w:eastAsia="en-US"/>
        </w:rPr>
        <w:t>)</w:t>
      </w:r>
    </w:p>
    <w:p w:rsidR="005D44FF" w:rsidRPr="00ED765D" w:rsidRDefault="005D44FF" w:rsidP="005D44FF">
      <w:pPr>
        <w:suppressAutoHyphens w:val="0"/>
        <w:jc w:val="both"/>
        <w:rPr>
          <w:sz w:val="20"/>
          <w:szCs w:val="20"/>
          <w:lang w:eastAsia="en-US"/>
        </w:rPr>
      </w:pPr>
      <w:r w:rsidRPr="00ED765D">
        <w:rPr>
          <w:sz w:val="20"/>
          <w:szCs w:val="20"/>
          <w:lang w:eastAsia="en-US"/>
        </w:rPr>
        <w:t>Le lien sera fait entre les Conseillères Sociale</w:t>
      </w:r>
      <w:r w:rsidR="00623740">
        <w:rPr>
          <w:sz w:val="20"/>
          <w:szCs w:val="20"/>
          <w:lang w:eastAsia="en-US"/>
        </w:rPr>
        <w:t>s</w:t>
      </w:r>
      <w:r w:rsidRPr="00ED765D">
        <w:rPr>
          <w:sz w:val="20"/>
          <w:szCs w:val="20"/>
          <w:lang w:eastAsia="en-US"/>
        </w:rPr>
        <w:t xml:space="preserve"> </w:t>
      </w:r>
      <w:r w:rsidR="00772850" w:rsidRPr="00ED765D">
        <w:rPr>
          <w:sz w:val="20"/>
          <w:szCs w:val="20"/>
          <w:lang w:eastAsia="en-US"/>
        </w:rPr>
        <w:t xml:space="preserve">d’ICF Habitat La Sablière </w:t>
      </w:r>
      <w:r w:rsidRPr="00ED765D">
        <w:rPr>
          <w:sz w:val="20"/>
          <w:szCs w:val="20"/>
          <w:lang w:eastAsia="en-US"/>
        </w:rPr>
        <w:t>et l’Association FREHA.</w:t>
      </w:r>
    </w:p>
    <w:p w:rsidR="005D44FF" w:rsidRPr="005D44FF" w:rsidRDefault="005D44FF" w:rsidP="005D44FF">
      <w:pPr>
        <w:suppressAutoHyphens w:val="0"/>
        <w:jc w:val="both"/>
        <w:rPr>
          <w:rFonts w:ascii="Gill Sans MT" w:hAnsi="Gill Sans MT"/>
          <w:sz w:val="20"/>
          <w:szCs w:val="20"/>
          <w:lang w:eastAsia="en-US"/>
        </w:rPr>
      </w:pPr>
    </w:p>
    <w:p w:rsidR="00ED765D" w:rsidRDefault="00AD697A">
      <w:pPr>
        <w:jc w:val="both"/>
      </w:pPr>
      <w:r w:rsidRPr="002D2E08">
        <w:rPr>
          <w:b/>
        </w:rPr>
        <w:t>Complémentarité avec la gestion locative (type de gestion locative : classique ou adaptée) :</w:t>
      </w:r>
    </w:p>
    <w:p w:rsidR="00AD697A" w:rsidRPr="002D2E08" w:rsidRDefault="009C19CA">
      <w:pPr>
        <w:jc w:val="both"/>
        <w:rPr>
          <w:rFonts w:ascii="Gill Sans MT" w:hAnsi="Gill Sans MT"/>
          <w:sz w:val="20"/>
          <w:szCs w:val="20"/>
          <w:lang w:eastAsia="en-US"/>
        </w:rPr>
      </w:pPr>
      <w:r w:rsidRPr="00ED765D">
        <w:rPr>
          <w:sz w:val="20"/>
          <w:szCs w:val="20"/>
          <w:lang w:eastAsia="en-US"/>
        </w:rPr>
        <w:t xml:space="preserve">C’est un accompagnement global qui prend en compte la gestion budgétaire du ménage afin de prévenir ou </w:t>
      </w:r>
      <w:r w:rsidR="002D2E08" w:rsidRPr="00ED765D">
        <w:rPr>
          <w:sz w:val="20"/>
          <w:szCs w:val="20"/>
          <w:lang w:eastAsia="en-US"/>
        </w:rPr>
        <w:t>traiter</w:t>
      </w:r>
      <w:r w:rsidRPr="00ED765D">
        <w:rPr>
          <w:sz w:val="20"/>
          <w:szCs w:val="20"/>
          <w:lang w:eastAsia="en-US"/>
        </w:rPr>
        <w:t xml:space="preserve"> une situation d’impayé.</w:t>
      </w:r>
    </w:p>
    <w:p w:rsidR="00AD697A" w:rsidRDefault="00AD697A">
      <w:pPr>
        <w:jc w:val="both"/>
      </w:pPr>
    </w:p>
    <w:p w:rsidR="00ED765D" w:rsidRPr="00ED765D" w:rsidRDefault="00AD697A" w:rsidP="00F55159">
      <w:pPr>
        <w:jc w:val="both"/>
      </w:pPr>
      <w:r w:rsidRPr="00ED765D">
        <w:rPr>
          <w:b/>
        </w:rPr>
        <w:t>Démarche mise en place pour favoriser l’adhésion du ménage :</w:t>
      </w:r>
    </w:p>
    <w:p w:rsidR="00F55159" w:rsidRDefault="00F55159" w:rsidP="00F55159">
      <w:pPr>
        <w:jc w:val="both"/>
        <w:rPr>
          <w:sz w:val="20"/>
          <w:szCs w:val="20"/>
          <w:lang w:eastAsia="en-US"/>
        </w:rPr>
      </w:pPr>
      <w:r w:rsidRPr="00ED765D">
        <w:rPr>
          <w:sz w:val="20"/>
          <w:szCs w:val="20"/>
          <w:lang w:eastAsia="en-US"/>
        </w:rPr>
        <w:t>F</w:t>
      </w:r>
      <w:r w:rsidR="002D2E08" w:rsidRPr="00ED765D">
        <w:rPr>
          <w:sz w:val="20"/>
          <w:szCs w:val="20"/>
          <w:lang w:eastAsia="en-US"/>
        </w:rPr>
        <w:t>REHA</w:t>
      </w:r>
      <w:r w:rsidRPr="00ED765D">
        <w:rPr>
          <w:sz w:val="20"/>
          <w:szCs w:val="20"/>
          <w:lang w:eastAsia="en-US"/>
        </w:rPr>
        <w:t>, dans une phase diagnosti</w:t>
      </w:r>
      <w:r w:rsidR="00120710">
        <w:rPr>
          <w:sz w:val="20"/>
          <w:szCs w:val="20"/>
          <w:lang w:eastAsia="en-US"/>
        </w:rPr>
        <w:t>c</w:t>
      </w:r>
      <w:r w:rsidRPr="00ED765D">
        <w:rPr>
          <w:sz w:val="20"/>
          <w:szCs w:val="20"/>
          <w:lang w:eastAsia="en-US"/>
        </w:rPr>
        <w:t>, mettra en œuvre des actions pour entrer en relation avec les ménages, (courrier de mise à disposition en lettre simple, recommandée, visite sur site</w:t>
      </w:r>
      <w:r w:rsidR="00ED765D" w:rsidRPr="00ED765D">
        <w:rPr>
          <w:sz w:val="20"/>
          <w:szCs w:val="20"/>
          <w:lang w:eastAsia="en-US"/>
        </w:rPr>
        <w:t>, appel téléphonique</w:t>
      </w:r>
      <w:r w:rsidRPr="00ED765D">
        <w:rPr>
          <w:sz w:val="20"/>
          <w:szCs w:val="20"/>
          <w:lang w:eastAsia="en-US"/>
        </w:rPr>
        <w:t>) et formalisera un premier entretien qui permettra d’établir une évaluation sociale en fonction des situations et de la relation qui a pu s’instaurer avec les ménages, notamment ceux en situation de « décrochage ».</w:t>
      </w:r>
      <w:r w:rsidR="00120710">
        <w:rPr>
          <w:sz w:val="20"/>
          <w:szCs w:val="20"/>
          <w:lang w:eastAsia="en-US"/>
        </w:rPr>
        <w:t xml:space="preserve"> Le savoir-faire de FREHA développé à travers la diversité de leurs publics et de leur activité permettra </w:t>
      </w:r>
      <w:r w:rsidR="00CA1524">
        <w:rPr>
          <w:sz w:val="20"/>
          <w:szCs w:val="20"/>
          <w:lang w:eastAsia="en-US"/>
        </w:rPr>
        <w:t>une démarche adaptée à chaque situation.</w:t>
      </w:r>
    </w:p>
    <w:p w:rsidR="00CA1524" w:rsidRDefault="00CA1524" w:rsidP="00CA1524">
      <w:pPr>
        <w:jc w:val="both"/>
        <w:rPr>
          <w:b/>
        </w:rPr>
      </w:pPr>
    </w:p>
    <w:p w:rsidR="00CA1524" w:rsidRPr="00ED765D" w:rsidRDefault="00CA1524" w:rsidP="00CA1524">
      <w:pPr>
        <w:jc w:val="both"/>
      </w:pPr>
      <w:r w:rsidRPr="00ED765D">
        <w:rPr>
          <w:b/>
        </w:rPr>
        <w:t>Modalités de mobilisation de l’offre d’accompagnement existante ou nouvelle :</w:t>
      </w:r>
      <w:r w:rsidRPr="00ED765D">
        <w:t xml:space="preserve"> </w:t>
      </w:r>
    </w:p>
    <w:p w:rsidR="004A73AF" w:rsidRDefault="004A73AF" w:rsidP="00CA1524">
      <w:pPr>
        <w:jc w:val="both"/>
        <w:rPr>
          <w:sz w:val="20"/>
          <w:szCs w:val="20"/>
          <w:lang w:eastAsia="en-US"/>
        </w:rPr>
      </w:pPr>
    </w:p>
    <w:p w:rsidR="004A73AF" w:rsidRDefault="004A73AF" w:rsidP="00CA1524">
      <w:pPr>
        <w:jc w:val="both"/>
        <w:rPr>
          <w:sz w:val="20"/>
          <w:szCs w:val="20"/>
          <w:lang w:eastAsia="en-US"/>
        </w:rPr>
      </w:pPr>
      <w:r>
        <w:rPr>
          <w:sz w:val="20"/>
          <w:szCs w:val="20"/>
          <w:lang w:eastAsia="en-US"/>
        </w:rPr>
        <w:t xml:space="preserve">Le diagnostic initial permettra de vérifier l’adéquation du logement proposé à la situation de la famille, et dans le cas contraire, de rechercher une proposition plus adaptée avec l’appui des réservataires. </w:t>
      </w:r>
    </w:p>
    <w:p w:rsidR="004A73AF" w:rsidRDefault="004A73AF" w:rsidP="00CA1524">
      <w:pPr>
        <w:jc w:val="both"/>
        <w:rPr>
          <w:sz w:val="20"/>
          <w:szCs w:val="20"/>
          <w:lang w:eastAsia="en-US"/>
        </w:rPr>
      </w:pPr>
      <w:r>
        <w:rPr>
          <w:sz w:val="20"/>
          <w:szCs w:val="20"/>
          <w:lang w:eastAsia="en-US"/>
        </w:rPr>
        <w:t>Pour les autres situations, il s’agit de rechercher le maintien du ménage dans le logement qu’il occupe déjà dans le patrimoine d’ICF Habitat la Sablière. Une réorientation éventuelle vers un logement du patrimoine plus adapté, et toujours pérenne, sera toujours possible.</w:t>
      </w:r>
    </w:p>
    <w:p w:rsidR="004A73AF" w:rsidRDefault="004A73AF" w:rsidP="00CA1524">
      <w:pPr>
        <w:jc w:val="both"/>
        <w:rPr>
          <w:sz w:val="20"/>
          <w:szCs w:val="20"/>
          <w:lang w:eastAsia="en-US"/>
        </w:rPr>
      </w:pPr>
    </w:p>
    <w:p w:rsidR="00CA1524" w:rsidRDefault="00CA1524" w:rsidP="00CA1524">
      <w:pPr>
        <w:jc w:val="both"/>
      </w:pPr>
      <w:r w:rsidRPr="00ED765D">
        <w:rPr>
          <w:b/>
        </w:rPr>
        <w:t>Structuration de la relation bailleur/accompagnateur :</w:t>
      </w:r>
    </w:p>
    <w:p w:rsidR="00CA1524" w:rsidRPr="00ED765D" w:rsidRDefault="00CA1524" w:rsidP="00CA1524">
      <w:pPr>
        <w:jc w:val="both"/>
        <w:rPr>
          <w:sz w:val="20"/>
          <w:szCs w:val="20"/>
          <w:lang w:eastAsia="en-US"/>
        </w:rPr>
      </w:pPr>
      <w:r w:rsidRPr="00ED765D">
        <w:rPr>
          <w:sz w:val="20"/>
          <w:szCs w:val="20"/>
          <w:lang w:eastAsia="en-US"/>
        </w:rPr>
        <w:t xml:space="preserve">ICF Habitat La Sablière transmet une fiche de liaison suite au repérage d’un ménage à l’Association FREHA. </w:t>
      </w:r>
    </w:p>
    <w:p w:rsidR="00CA1524" w:rsidRPr="00ED765D" w:rsidRDefault="00CA1524" w:rsidP="00CA1524">
      <w:pPr>
        <w:jc w:val="both"/>
        <w:rPr>
          <w:sz w:val="20"/>
          <w:szCs w:val="20"/>
          <w:lang w:eastAsia="en-US"/>
        </w:rPr>
      </w:pPr>
      <w:r w:rsidRPr="00ED765D">
        <w:rPr>
          <w:sz w:val="20"/>
          <w:szCs w:val="20"/>
          <w:lang w:eastAsia="en-US"/>
        </w:rPr>
        <w:t>Une évaluation sera faite par l’Association.</w:t>
      </w: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CA1524" w:rsidRDefault="00CA1524" w:rsidP="00F55159">
      <w:pPr>
        <w:jc w:val="both"/>
        <w:rPr>
          <w:sz w:val="20"/>
          <w:szCs w:val="20"/>
          <w:lang w:eastAsia="en-US"/>
        </w:rPr>
      </w:pPr>
    </w:p>
    <w:p w:rsidR="00A34A63" w:rsidRDefault="00A34A63" w:rsidP="003B3A3F">
      <w:pPr>
        <w:jc w:val="both"/>
        <w:rPr>
          <w:b/>
        </w:rPr>
      </w:pPr>
      <w:r>
        <w:rPr>
          <w:noProof/>
          <w:lang w:eastAsia="fr-FR"/>
        </w:rPr>
        <w:drawing>
          <wp:anchor distT="0" distB="0" distL="114935" distR="114935" simplePos="0" relativeHeight="251657216" behindDoc="1" locked="0" layoutInCell="1" allowOverlap="1">
            <wp:simplePos x="0" y="0"/>
            <wp:positionH relativeFrom="column">
              <wp:posOffset>5198745</wp:posOffset>
            </wp:positionH>
            <wp:positionV relativeFrom="paragraph">
              <wp:posOffset>-638175</wp:posOffset>
            </wp:positionV>
            <wp:extent cx="977265" cy="12534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8240" behindDoc="1" locked="0" layoutInCell="1" allowOverlap="1">
            <wp:simplePos x="0" y="0"/>
            <wp:positionH relativeFrom="column">
              <wp:posOffset>-139065</wp:posOffset>
            </wp:positionH>
            <wp:positionV relativeFrom="paragraph">
              <wp:posOffset>-417195</wp:posOffset>
            </wp:positionV>
            <wp:extent cx="2757805" cy="694055"/>
            <wp:effectExtent l="0" t="0" r="1079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A1524" w:rsidRDefault="00CA1524" w:rsidP="00CA1524">
      <w:pPr>
        <w:jc w:val="both"/>
        <w:rPr>
          <w:b/>
        </w:rPr>
      </w:pPr>
    </w:p>
    <w:p w:rsidR="00CA1524" w:rsidRDefault="00CA1524" w:rsidP="00CA1524">
      <w:pPr>
        <w:jc w:val="both"/>
        <w:rPr>
          <w:b/>
        </w:rPr>
      </w:pPr>
    </w:p>
    <w:p w:rsidR="00A34A63" w:rsidRDefault="00A34A63" w:rsidP="003B3A3F">
      <w:pPr>
        <w:jc w:val="both"/>
        <w:rPr>
          <w:rFonts w:ascii="Gill Sans MT" w:hAnsi="Gill Sans MT"/>
          <w:sz w:val="20"/>
          <w:szCs w:val="20"/>
          <w:lang w:eastAsia="en-US"/>
        </w:rPr>
      </w:pPr>
    </w:p>
    <w:p w:rsidR="003B3A3F" w:rsidRPr="002D2E08" w:rsidRDefault="009927B0" w:rsidP="003B3A3F">
      <w:pPr>
        <w:jc w:val="both"/>
        <w:rPr>
          <w:rFonts w:ascii="Gill Sans MT" w:hAnsi="Gill Sans MT"/>
          <w:sz w:val="20"/>
          <w:szCs w:val="20"/>
          <w:lang w:eastAsia="en-US"/>
        </w:rPr>
      </w:pPr>
      <w:r w:rsidRPr="002D2E08">
        <w:rPr>
          <w:rFonts w:ascii="Gill Sans MT" w:hAnsi="Gill Sans MT"/>
          <w:sz w:val="20"/>
          <w:szCs w:val="20"/>
          <w:lang w:eastAsia="en-US"/>
        </w:rPr>
        <w:t>D</w:t>
      </w:r>
      <w:r w:rsidR="003B3A3F" w:rsidRPr="002D2E08">
        <w:rPr>
          <w:rFonts w:ascii="Gill Sans MT" w:hAnsi="Gill Sans MT"/>
          <w:sz w:val="20"/>
          <w:szCs w:val="20"/>
          <w:lang w:eastAsia="en-US"/>
        </w:rPr>
        <w:t>es bilans seront organisés entre l’Association FREHA et ICF Habitat La Sablière trimestriellement.</w:t>
      </w:r>
    </w:p>
    <w:p w:rsidR="003B3A3F" w:rsidRPr="002D2E08" w:rsidRDefault="003B3A3F" w:rsidP="003B3A3F">
      <w:pPr>
        <w:jc w:val="both"/>
        <w:rPr>
          <w:rFonts w:ascii="Gill Sans MT" w:hAnsi="Gill Sans MT"/>
          <w:sz w:val="20"/>
          <w:szCs w:val="20"/>
          <w:lang w:eastAsia="en-US"/>
        </w:rPr>
      </w:pPr>
      <w:r w:rsidRPr="002D2E08">
        <w:rPr>
          <w:rFonts w:ascii="Gill Sans MT" w:hAnsi="Gill Sans MT"/>
          <w:sz w:val="20"/>
          <w:szCs w:val="20"/>
          <w:lang w:eastAsia="en-US"/>
        </w:rPr>
        <w:t>Les deux parties restent disponibles en cas de nécessité.</w:t>
      </w:r>
    </w:p>
    <w:p w:rsidR="003B3A3F" w:rsidRPr="002D2E08" w:rsidRDefault="003B3A3F" w:rsidP="003B3A3F">
      <w:pPr>
        <w:jc w:val="both"/>
        <w:rPr>
          <w:rFonts w:ascii="Gill Sans MT" w:hAnsi="Gill Sans MT"/>
          <w:sz w:val="20"/>
          <w:szCs w:val="20"/>
          <w:lang w:eastAsia="en-US"/>
        </w:rPr>
      </w:pPr>
    </w:p>
    <w:p w:rsidR="003B3A3F" w:rsidRPr="002D2E08" w:rsidRDefault="003B3A3F" w:rsidP="003B3A3F">
      <w:pPr>
        <w:jc w:val="both"/>
        <w:rPr>
          <w:rFonts w:ascii="Gill Sans MT" w:hAnsi="Gill Sans MT"/>
          <w:sz w:val="20"/>
          <w:szCs w:val="20"/>
          <w:lang w:eastAsia="en-US"/>
        </w:rPr>
      </w:pPr>
      <w:r w:rsidRPr="002D2E08">
        <w:rPr>
          <w:rFonts w:ascii="Gill Sans MT" w:hAnsi="Gill Sans MT"/>
          <w:sz w:val="20"/>
          <w:szCs w:val="20"/>
          <w:lang w:eastAsia="en-US"/>
        </w:rPr>
        <w:t xml:space="preserve">Une évaluation </w:t>
      </w:r>
      <w:r w:rsidR="004A73AF">
        <w:rPr>
          <w:rFonts w:ascii="Gill Sans MT" w:hAnsi="Gill Sans MT"/>
          <w:sz w:val="20"/>
          <w:szCs w:val="20"/>
          <w:lang w:eastAsia="en-US"/>
        </w:rPr>
        <w:t>de l’ensemble du</w:t>
      </w:r>
      <w:r w:rsidRPr="002D2E08">
        <w:rPr>
          <w:rFonts w:ascii="Gill Sans MT" w:hAnsi="Gill Sans MT"/>
          <w:sz w:val="20"/>
          <w:szCs w:val="20"/>
          <w:lang w:eastAsia="en-US"/>
        </w:rPr>
        <w:t xml:space="preserve"> projet sera prévue annuellement.</w:t>
      </w:r>
    </w:p>
    <w:p w:rsidR="003B3A3F" w:rsidRDefault="003B3A3F" w:rsidP="003B3A3F">
      <w:pPr>
        <w:jc w:val="both"/>
      </w:pPr>
    </w:p>
    <w:p w:rsidR="00772850" w:rsidRDefault="00AD697A" w:rsidP="003B3A3F">
      <w:pPr>
        <w:jc w:val="both"/>
        <w:rPr>
          <w:b/>
          <w:i/>
          <w:color w:val="0000FF"/>
        </w:rPr>
      </w:pPr>
      <w:r>
        <w:rPr>
          <w:b/>
        </w:rPr>
        <w:t xml:space="preserve">Adéquation du projet aux besoins spécifiques des publics ciblés par </w:t>
      </w:r>
      <w:r w:rsidRPr="00772850">
        <w:rPr>
          <w:b/>
        </w:rPr>
        <w:t>le projet :</w:t>
      </w:r>
      <w:r>
        <w:rPr>
          <w:b/>
          <w:i/>
          <w:color w:val="0000FF"/>
        </w:rPr>
        <w:t xml:space="preserve"> </w:t>
      </w:r>
    </w:p>
    <w:p w:rsidR="00772850" w:rsidRDefault="00772850" w:rsidP="00772850">
      <w:pPr>
        <w:numPr>
          <w:ilvl w:val="0"/>
          <w:numId w:val="3"/>
        </w:numPr>
        <w:jc w:val="both"/>
        <w:rPr>
          <w:rFonts w:ascii="Gill Sans MT" w:hAnsi="Gill Sans MT"/>
          <w:sz w:val="20"/>
          <w:szCs w:val="20"/>
          <w:lang w:eastAsia="en-US"/>
        </w:rPr>
      </w:pPr>
      <w:r>
        <w:rPr>
          <w:rFonts w:ascii="Gill Sans MT" w:hAnsi="Gill Sans MT"/>
          <w:sz w:val="20"/>
          <w:szCs w:val="20"/>
          <w:lang w:eastAsia="en-US"/>
        </w:rPr>
        <w:t>Veiller à une bonne intégration dans le logement pour les ménages repérés lors de la CAL,</w:t>
      </w:r>
    </w:p>
    <w:p w:rsidR="00772850" w:rsidRDefault="00772850" w:rsidP="00772850">
      <w:pPr>
        <w:numPr>
          <w:ilvl w:val="0"/>
          <w:numId w:val="3"/>
        </w:numPr>
        <w:jc w:val="both"/>
        <w:rPr>
          <w:rFonts w:ascii="Gill Sans MT" w:hAnsi="Gill Sans MT"/>
          <w:sz w:val="20"/>
          <w:szCs w:val="20"/>
          <w:lang w:eastAsia="en-US"/>
        </w:rPr>
      </w:pPr>
      <w:r>
        <w:rPr>
          <w:rFonts w:ascii="Gill Sans MT" w:hAnsi="Gill Sans MT"/>
          <w:sz w:val="20"/>
          <w:szCs w:val="20"/>
          <w:lang w:eastAsia="en-US"/>
        </w:rPr>
        <w:t>R</w:t>
      </w:r>
      <w:r w:rsidR="009927B0" w:rsidRPr="002D2E08">
        <w:rPr>
          <w:rFonts w:ascii="Gill Sans MT" w:hAnsi="Gill Sans MT"/>
          <w:sz w:val="20"/>
          <w:szCs w:val="20"/>
          <w:lang w:eastAsia="en-US"/>
        </w:rPr>
        <w:t>établir une relation de confiance ent</w:t>
      </w:r>
      <w:r>
        <w:rPr>
          <w:rFonts w:ascii="Gill Sans MT" w:hAnsi="Gill Sans MT"/>
          <w:sz w:val="20"/>
          <w:szCs w:val="20"/>
          <w:lang w:eastAsia="en-US"/>
        </w:rPr>
        <w:t>re le locataire et le bailleur,</w:t>
      </w:r>
    </w:p>
    <w:p w:rsidR="002D2E08" w:rsidRPr="00A34A63" w:rsidRDefault="009927B0" w:rsidP="00A34A63">
      <w:pPr>
        <w:numPr>
          <w:ilvl w:val="0"/>
          <w:numId w:val="3"/>
        </w:numPr>
        <w:jc w:val="both"/>
        <w:rPr>
          <w:rFonts w:ascii="Gill Sans MT" w:hAnsi="Gill Sans MT"/>
          <w:sz w:val="20"/>
          <w:szCs w:val="20"/>
          <w:lang w:eastAsia="en-US"/>
        </w:rPr>
      </w:pPr>
      <w:r w:rsidRPr="002D2E08">
        <w:rPr>
          <w:rFonts w:ascii="Gill Sans MT" w:hAnsi="Gill Sans MT"/>
          <w:sz w:val="20"/>
          <w:szCs w:val="20"/>
          <w:lang w:eastAsia="en-US"/>
        </w:rPr>
        <w:t>Favoriser le maintien à domicile, mais aussi la réorientation vers des structures adapt</w:t>
      </w:r>
      <w:r w:rsidR="004A73AF">
        <w:rPr>
          <w:rFonts w:ascii="Gill Sans MT" w:hAnsi="Gill Sans MT"/>
          <w:sz w:val="20"/>
          <w:szCs w:val="20"/>
          <w:lang w:eastAsia="en-US"/>
        </w:rPr>
        <w:t>ées en fonction de la situation, toujours dans le cadre d’un logement pérenne.</w:t>
      </w:r>
      <w:r w:rsidRPr="002D2E08">
        <w:rPr>
          <w:rFonts w:ascii="Gill Sans MT" w:hAnsi="Gill Sans MT"/>
          <w:sz w:val="20"/>
          <w:szCs w:val="20"/>
          <w:lang w:eastAsia="en-US"/>
        </w:rPr>
        <w:t xml:space="preserve"> </w:t>
      </w:r>
    </w:p>
    <w:p w:rsidR="002D2E08" w:rsidRDefault="002D2E08">
      <w:pPr>
        <w:jc w:val="both"/>
      </w:pPr>
    </w:p>
    <w:p w:rsidR="00AD697A" w:rsidRDefault="00AD697A">
      <w:pPr>
        <w:pBdr>
          <w:top w:val="single" w:sz="4" w:space="1" w:color="000000"/>
          <w:left w:val="single" w:sz="4" w:space="4" w:color="000000"/>
          <w:bottom w:val="single" w:sz="4" w:space="1" w:color="000000"/>
          <w:right w:val="single" w:sz="4" w:space="4" w:color="000000"/>
        </w:pBdr>
        <w:jc w:val="center"/>
        <w:rPr>
          <w:b/>
          <w:bCs/>
        </w:rPr>
      </w:pPr>
      <w:r>
        <w:rPr>
          <w:b/>
        </w:rPr>
        <w:t>Partenariat</w:t>
      </w:r>
    </w:p>
    <w:p w:rsidR="002F1D24" w:rsidRDefault="002F1D24">
      <w:pPr>
        <w:jc w:val="both"/>
        <w:rPr>
          <w:b/>
          <w:bCs/>
        </w:rPr>
      </w:pPr>
    </w:p>
    <w:p w:rsidR="00A34A63" w:rsidRDefault="00AD697A">
      <w:pPr>
        <w:jc w:val="both"/>
      </w:pPr>
      <w:r>
        <w:rPr>
          <w:b/>
          <w:bCs/>
        </w:rPr>
        <w:t>Partenaires mobilisés - exemples : collectivités territoriales, SIAO, associations, coordination entre les organismes, … :</w:t>
      </w:r>
    </w:p>
    <w:p w:rsidR="00A34A63" w:rsidRPr="00A34A63" w:rsidRDefault="00A34A63">
      <w:pPr>
        <w:jc w:val="both"/>
        <w:rPr>
          <w:sz w:val="20"/>
          <w:szCs w:val="20"/>
          <w:lang w:eastAsia="en-US"/>
        </w:rPr>
      </w:pPr>
      <w:r w:rsidRPr="00A34A63">
        <w:rPr>
          <w:sz w:val="20"/>
          <w:szCs w:val="20"/>
          <w:lang w:eastAsia="en-US"/>
        </w:rPr>
        <w:t>Les partenaires mobilisés</w:t>
      </w:r>
      <w:r w:rsidR="00003946">
        <w:rPr>
          <w:sz w:val="20"/>
          <w:szCs w:val="20"/>
          <w:lang w:eastAsia="en-US"/>
        </w:rPr>
        <w:t xml:space="preserve"> sont les travailleurs sociaux diplômés d’Etat de l’asso</w:t>
      </w:r>
      <w:r w:rsidR="004156FF">
        <w:rPr>
          <w:sz w:val="20"/>
          <w:szCs w:val="20"/>
          <w:lang w:eastAsia="en-US"/>
        </w:rPr>
        <w:t>ciation FREHA (ASS, CESF ou ES) ainsi que les équipes d’ICF Habitat La Sablière.</w:t>
      </w:r>
    </w:p>
    <w:p w:rsidR="00AD697A" w:rsidRPr="00A34A63" w:rsidRDefault="004156FF">
      <w:pPr>
        <w:jc w:val="both"/>
        <w:rPr>
          <w:sz w:val="20"/>
          <w:szCs w:val="20"/>
          <w:lang w:eastAsia="en-US"/>
        </w:rPr>
      </w:pPr>
      <w:r>
        <w:rPr>
          <w:sz w:val="20"/>
          <w:szCs w:val="20"/>
          <w:lang w:eastAsia="en-US"/>
        </w:rPr>
        <w:t xml:space="preserve">D’autres </w:t>
      </w:r>
      <w:r w:rsidR="009927B0" w:rsidRPr="00A34A63">
        <w:rPr>
          <w:sz w:val="20"/>
          <w:szCs w:val="20"/>
          <w:lang w:eastAsia="en-US"/>
        </w:rPr>
        <w:t>partenaires pourront être sollicités en fonction des besoins (</w:t>
      </w:r>
      <w:r w:rsidR="00170EF6" w:rsidRPr="00A34A63">
        <w:rPr>
          <w:sz w:val="20"/>
          <w:szCs w:val="20"/>
          <w:lang w:eastAsia="en-US"/>
        </w:rPr>
        <w:t>Service Social de Secteur, CMP,</w:t>
      </w:r>
      <w:r>
        <w:rPr>
          <w:sz w:val="20"/>
          <w:szCs w:val="20"/>
          <w:lang w:eastAsia="en-US"/>
        </w:rPr>
        <w:t xml:space="preserve"> CLIC, CCA</w:t>
      </w:r>
      <w:r w:rsidR="00170EF6" w:rsidRPr="00A34A63">
        <w:rPr>
          <w:sz w:val="20"/>
          <w:szCs w:val="20"/>
          <w:lang w:eastAsia="en-US"/>
        </w:rPr>
        <w:t>)</w:t>
      </w:r>
      <w:r w:rsidR="00A34A63" w:rsidRPr="00A34A63">
        <w:rPr>
          <w:sz w:val="20"/>
          <w:szCs w:val="20"/>
          <w:lang w:eastAsia="en-US"/>
        </w:rPr>
        <w:t>.</w:t>
      </w:r>
    </w:p>
    <w:p w:rsidR="00AD697A" w:rsidRDefault="00AD697A"/>
    <w:p w:rsidR="00AD697A" w:rsidRPr="00A34A63" w:rsidRDefault="00AD697A">
      <w:pPr>
        <w:jc w:val="both"/>
      </w:pPr>
      <w:r w:rsidRPr="00A34A63">
        <w:rPr>
          <w:b/>
          <w:shd w:val="clear" w:color="auto" w:fill="F3F3F3"/>
        </w:rPr>
        <w:t>Montage financier (solidité financière du plan de financement et d’exploitation du projet, optimisation des coûts) :</w:t>
      </w:r>
      <w:r w:rsidRPr="00A34A63">
        <w:rPr>
          <w:b/>
          <w:i/>
          <w:color w:val="0000FF"/>
          <w:shd w:val="clear" w:color="auto" w:fill="F3F3F3"/>
        </w:rPr>
        <w:t xml:space="preserve"> </w:t>
      </w:r>
      <w:r w:rsidRPr="00A34A63">
        <w:rPr>
          <w:b/>
          <w:i/>
          <w:color w:val="0000FF"/>
          <w:shd w:val="clear" w:color="auto" w:fill="F3F3F3"/>
        </w:rPr>
        <w:tab/>
      </w:r>
      <w:r w:rsidRPr="00A34A63">
        <w:rPr>
          <w:b/>
          <w:i/>
          <w:color w:val="0000FF"/>
          <w:shd w:val="clear" w:color="auto" w:fill="F3F3F3"/>
        </w:rPr>
        <w:tab/>
      </w:r>
      <w:r w:rsidRPr="00A34A63">
        <w:rPr>
          <w:b/>
          <w:i/>
          <w:color w:val="0000FF"/>
          <w:shd w:val="clear" w:color="auto" w:fill="F3F3F3"/>
        </w:rPr>
        <w:tab/>
      </w:r>
      <w:r w:rsidRPr="00A34A63">
        <w:rPr>
          <w:b/>
          <w:i/>
          <w:color w:val="0000FF"/>
          <w:shd w:val="clear" w:color="auto" w:fill="F3F3F3"/>
        </w:rPr>
        <w:tab/>
        <w:t xml:space="preserve">      </w:t>
      </w:r>
    </w:p>
    <w:p w:rsidR="00C974C9" w:rsidRDefault="00C974C9"/>
    <w:p w:rsidR="00AD697A" w:rsidRPr="00C974C9" w:rsidRDefault="00C974C9">
      <w:r w:rsidRPr="00C974C9">
        <w:rPr>
          <w:b/>
        </w:rPr>
        <w:t>Coût de la médiation</w:t>
      </w:r>
      <w:r>
        <w:rPr>
          <w:b/>
        </w:rPr>
        <w:t xml:space="preserve"> : </w:t>
      </w:r>
      <w:r w:rsidRPr="00C974C9">
        <w:rPr>
          <w:i/>
        </w:rPr>
        <w:t>250 € par ménage</w:t>
      </w:r>
    </w:p>
    <w:p w:rsidR="00AD697A" w:rsidRPr="00A34A63" w:rsidRDefault="00AD697A">
      <w:pPr>
        <w:jc w:val="both"/>
      </w:pPr>
      <w:r w:rsidRPr="00A34A63">
        <w:rPr>
          <w:b/>
        </w:rPr>
        <w:t>Coût du diagnostic de la situation des ménages par rapport au logement :</w:t>
      </w:r>
      <w:r w:rsidRPr="00A34A63">
        <w:t xml:space="preserve"> </w:t>
      </w:r>
      <w:r w:rsidR="004F56F9">
        <w:rPr>
          <w:i/>
        </w:rPr>
        <w:t>600</w:t>
      </w:r>
      <w:r w:rsidRPr="00A34A63">
        <w:rPr>
          <w:i/>
        </w:rPr>
        <w:t xml:space="preserve"> € par ménage</w:t>
      </w:r>
      <w:r w:rsidR="004F56F9">
        <w:rPr>
          <w:i/>
        </w:rPr>
        <w:t>.</w:t>
      </w:r>
    </w:p>
    <w:p w:rsidR="00AD697A" w:rsidRPr="00A34A63" w:rsidRDefault="00AD697A">
      <w:r w:rsidRPr="00A34A63">
        <w:rPr>
          <w:b/>
        </w:rPr>
        <w:t>Coût de l’accompagnement par ménage :</w:t>
      </w:r>
      <w:r w:rsidRPr="00A34A63">
        <w:t xml:space="preserve"> </w:t>
      </w:r>
      <w:r w:rsidR="00BE6BA7">
        <w:rPr>
          <w:i/>
        </w:rPr>
        <w:t>300 € par mois (évalué sur 10 mois par ménage)</w:t>
      </w:r>
    </w:p>
    <w:p w:rsidR="00C974C9" w:rsidRPr="00BE6BA7" w:rsidRDefault="00C974C9">
      <w:pPr>
        <w:jc w:val="both"/>
        <w:rPr>
          <w:b/>
        </w:rPr>
      </w:pPr>
      <w:r>
        <w:t>Cout global du projet, incluant la contribution des collaborateurs d’ICF Habitat la Sablière :</w:t>
      </w:r>
      <w:r w:rsidR="00BE6BA7">
        <w:t xml:space="preserve"> </w:t>
      </w:r>
      <w:r w:rsidR="00BE6BA7" w:rsidRPr="00BE6BA7">
        <w:rPr>
          <w:b/>
        </w:rPr>
        <w:t>59.000 €</w:t>
      </w:r>
      <w:r w:rsidRPr="00BE6BA7">
        <w:rPr>
          <w:b/>
        </w:rPr>
        <w:t>uros</w:t>
      </w:r>
    </w:p>
    <w:p w:rsidR="00BE6BA7" w:rsidRDefault="00BE6BA7">
      <w:pPr>
        <w:jc w:val="both"/>
      </w:pPr>
    </w:p>
    <w:p w:rsidR="00AD697A" w:rsidRPr="00BE6BA7" w:rsidRDefault="00C974C9">
      <w:pPr>
        <w:jc w:val="both"/>
        <w:rPr>
          <w:b/>
        </w:rPr>
      </w:pPr>
      <w:r w:rsidRPr="00BE6BA7">
        <w:rPr>
          <w:b/>
        </w:rPr>
        <w:t xml:space="preserve">Co-financement par ICF Habitat la Sablière : </w:t>
      </w:r>
      <w:r w:rsidR="00BE6BA7" w:rsidRPr="00BE6BA7">
        <w:rPr>
          <w:b/>
        </w:rPr>
        <w:t>29.500 €uros</w:t>
      </w:r>
    </w:p>
    <w:p w:rsidR="00BE6BA7" w:rsidRPr="00BE6BA7" w:rsidRDefault="00BE6BA7">
      <w:pPr>
        <w:jc w:val="both"/>
        <w:rPr>
          <w:b/>
        </w:rPr>
      </w:pPr>
      <w:r w:rsidRPr="00BE6BA7">
        <w:rPr>
          <w:b/>
        </w:rPr>
        <w:t>Financement recherché dans le cadre de l’appel à projets : 29.500 €uros</w:t>
      </w:r>
    </w:p>
    <w:p w:rsidR="00BE6BA7" w:rsidRDefault="00BE6BA7" w:rsidP="00003946">
      <w:pPr>
        <w:jc w:val="both"/>
        <w:rPr>
          <w:rFonts w:ascii="Arial" w:hAnsi="Arial" w:cs="Arial"/>
          <w:sz w:val="20"/>
          <w:szCs w:val="20"/>
        </w:rPr>
      </w:pPr>
    </w:p>
    <w:p w:rsidR="00003946" w:rsidRPr="004A73AF" w:rsidRDefault="00003946" w:rsidP="00003946">
      <w:pPr>
        <w:jc w:val="both"/>
        <w:rPr>
          <w:rFonts w:ascii="Arial" w:hAnsi="Arial" w:cs="Arial"/>
          <w:sz w:val="20"/>
          <w:szCs w:val="20"/>
        </w:rPr>
      </w:pPr>
      <w:r w:rsidRPr="004A73AF">
        <w:rPr>
          <w:rFonts w:ascii="Arial" w:hAnsi="Arial" w:cs="Arial"/>
          <w:sz w:val="20"/>
          <w:szCs w:val="20"/>
        </w:rPr>
        <w:t>Le porteur du projet est le bailleur social</w:t>
      </w:r>
    </w:p>
    <w:p w:rsidR="00003946" w:rsidRPr="004A73AF" w:rsidRDefault="00003946" w:rsidP="00003946">
      <w:pPr>
        <w:jc w:val="both"/>
        <w:rPr>
          <w:rFonts w:ascii="Arial" w:hAnsi="Arial" w:cs="Arial"/>
          <w:sz w:val="20"/>
          <w:szCs w:val="20"/>
        </w:rPr>
      </w:pPr>
    </w:p>
    <w:p w:rsidR="00003946" w:rsidRPr="004A73AF" w:rsidRDefault="00003946" w:rsidP="00003946">
      <w:pPr>
        <w:jc w:val="both"/>
        <w:rPr>
          <w:rFonts w:ascii="Arial" w:hAnsi="Arial" w:cs="Arial"/>
          <w:sz w:val="20"/>
          <w:szCs w:val="20"/>
        </w:rPr>
      </w:pPr>
      <w:proofErr w:type="spellStart"/>
      <w:r w:rsidRPr="004A73AF">
        <w:rPr>
          <w:rFonts w:ascii="Arial" w:hAnsi="Arial" w:cs="Arial"/>
          <w:sz w:val="20"/>
          <w:szCs w:val="20"/>
        </w:rPr>
        <w:t>Freha</w:t>
      </w:r>
      <w:proofErr w:type="spellEnd"/>
      <w:r w:rsidRPr="004A73AF">
        <w:rPr>
          <w:rFonts w:ascii="Arial" w:hAnsi="Arial" w:cs="Arial"/>
          <w:sz w:val="20"/>
          <w:szCs w:val="20"/>
        </w:rPr>
        <w:t xml:space="preserve"> mobilisera des travailleurs sociaux diplômés d’Etat (ASS, CESF ou ES). La mobilisation des équipes de FREHA se fera en fonction d’un nombre de ménages prédéterminé par an. Pour ce projet,  trois phases sont définies :</w:t>
      </w:r>
    </w:p>
    <w:p w:rsidR="00003946" w:rsidRPr="004A73AF" w:rsidRDefault="00003946" w:rsidP="00003946">
      <w:pPr>
        <w:numPr>
          <w:ilvl w:val="0"/>
          <w:numId w:val="6"/>
        </w:numPr>
        <w:suppressAutoHyphens w:val="0"/>
        <w:jc w:val="both"/>
        <w:rPr>
          <w:rFonts w:ascii="Arial" w:hAnsi="Arial" w:cs="Arial"/>
          <w:sz w:val="20"/>
          <w:szCs w:val="20"/>
        </w:rPr>
      </w:pPr>
      <w:r w:rsidRPr="004A73AF">
        <w:rPr>
          <w:rFonts w:ascii="Arial" w:hAnsi="Arial" w:cs="Arial"/>
          <w:sz w:val="20"/>
          <w:szCs w:val="20"/>
        </w:rPr>
        <w:t xml:space="preserve">Contact </w:t>
      </w:r>
      <w:r w:rsidRPr="004A73AF">
        <w:rPr>
          <w:rFonts w:ascii="Arial" w:hAnsi="Arial" w:cs="Arial"/>
          <w:sz w:val="20"/>
          <w:szCs w:val="20"/>
        </w:rPr>
        <w:tab/>
      </w:r>
      <w:r w:rsidRPr="004A73AF">
        <w:rPr>
          <w:rFonts w:ascii="Arial" w:hAnsi="Arial" w:cs="Arial"/>
          <w:sz w:val="20"/>
          <w:szCs w:val="20"/>
        </w:rPr>
        <w:tab/>
      </w:r>
      <w:r w:rsidRPr="004A73AF">
        <w:rPr>
          <w:rFonts w:ascii="Arial" w:hAnsi="Arial" w:cs="Arial"/>
          <w:sz w:val="20"/>
          <w:szCs w:val="20"/>
        </w:rPr>
        <w:tab/>
      </w:r>
      <w:r w:rsidR="004A73AF">
        <w:rPr>
          <w:rFonts w:ascii="Arial" w:hAnsi="Arial" w:cs="Arial"/>
          <w:sz w:val="20"/>
          <w:szCs w:val="20"/>
        </w:rPr>
        <w:t>20</w:t>
      </w:r>
      <w:r w:rsidRPr="004A73AF">
        <w:rPr>
          <w:rFonts w:ascii="Arial" w:hAnsi="Arial" w:cs="Arial"/>
          <w:sz w:val="20"/>
          <w:szCs w:val="20"/>
        </w:rPr>
        <w:t xml:space="preserve"> ménages</w:t>
      </w:r>
      <w:r w:rsidRPr="004A73AF">
        <w:rPr>
          <w:rFonts w:ascii="Arial" w:hAnsi="Arial" w:cs="Arial"/>
          <w:sz w:val="20"/>
          <w:szCs w:val="20"/>
        </w:rPr>
        <w:tab/>
      </w:r>
      <w:r w:rsidRPr="004A73AF">
        <w:rPr>
          <w:rFonts w:ascii="Arial" w:hAnsi="Arial" w:cs="Arial"/>
          <w:sz w:val="20"/>
          <w:szCs w:val="20"/>
        </w:rPr>
        <w:tab/>
      </w:r>
      <w:r w:rsidRPr="004A73AF">
        <w:rPr>
          <w:rFonts w:ascii="Arial" w:hAnsi="Arial" w:cs="Arial"/>
          <w:sz w:val="20"/>
          <w:szCs w:val="20"/>
        </w:rPr>
        <w:tab/>
        <w:t>250 € / ménage</w:t>
      </w:r>
    </w:p>
    <w:p w:rsidR="00003946" w:rsidRPr="004A73AF" w:rsidRDefault="00003946" w:rsidP="00003946">
      <w:pPr>
        <w:numPr>
          <w:ilvl w:val="0"/>
          <w:numId w:val="6"/>
        </w:numPr>
        <w:suppressAutoHyphens w:val="0"/>
        <w:jc w:val="both"/>
        <w:rPr>
          <w:rFonts w:ascii="Arial" w:hAnsi="Arial" w:cs="Arial"/>
          <w:sz w:val="20"/>
          <w:szCs w:val="20"/>
        </w:rPr>
      </w:pPr>
      <w:r w:rsidRPr="004A73AF">
        <w:rPr>
          <w:rFonts w:ascii="Arial" w:hAnsi="Arial" w:cs="Arial"/>
          <w:sz w:val="20"/>
          <w:szCs w:val="20"/>
        </w:rPr>
        <w:t>Diagnostic :</w:t>
      </w:r>
      <w:r w:rsidRPr="004A73AF">
        <w:rPr>
          <w:rFonts w:ascii="Arial" w:hAnsi="Arial" w:cs="Arial"/>
          <w:sz w:val="20"/>
          <w:szCs w:val="20"/>
        </w:rPr>
        <w:tab/>
      </w:r>
      <w:r w:rsidRPr="004A73AF">
        <w:rPr>
          <w:rFonts w:ascii="Arial" w:hAnsi="Arial" w:cs="Arial"/>
          <w:sz w:val="20"/>
          <w:szCs w:val="20"/>
        </w:rPr>
        <w:tab/>
      </w:r>
      <w:r w:rsidRPr="004A73AF">
        <w:rPr>
          <w:rFonts w:ascii="Arial" w:hAnsi="Arial" w:cs="Arial"/>
          <w:sz w:val="20"/>
          <w:szCs w:val="20"/>
        </w:rPr>
        <w:tab/>
        <w:t>1</w:t>
      </w:r>
      <w:r w:rsidR="004A73AF">
        <w:rPr>
          <w:rFonts w:ascii="Arial" w:hAnsi="Arial" w:cs="Arial"/>
          <w:sz w:val="20"/>
          <w:szCs w:val="20"/>
        </w:rPr>
        <w:t>5</w:t>
      </w:r>
      <w:r w:rsidRPr="004A73AF">
        <w:rPr>
          <w:rFonts w:ascii="Arial" w:hAnsi="Arial" w:cs="Arial"/>
          <w:sz w:val="20"/>
          <w:szCs w:val="20"/>
        </w:rPr>
        <w:t xml:space="preserve"> ménages</w:t>
      </w:r>
      <w:r w:rsidRPr="004A73AF">
        <w:rPr>
          <w:rFonts w:ascii="Arial" w:hAnsi="Arial" w:cs="Arial"/>
          <w:sz w:val="20"/>
          <w:szCs w:val="20"/>
        </w:rPr>
        <w:tab/>
      </w:r>
      <w:r w:rsidRPr="004A73AF">
        <w:rPr>
          <w:rFonts w:ascii="Arial" w:hAnsi="Arial" w:cs="Arial"/>
          <w:sz w:val="20"/>
          <w:szCs w:val="20"/>
        </w:rPr>
        <w:tab/>
      </w:r>
      <w:r w:rsidRPr="004A73AF">
        <w:rPr>
          <w:rFonts w:ascii="Arial" w:hAnsi="Arial" w:cs="Arial"/>
          <w:sz w:val="20"/>
          <w:szCs w:val="20"/>
        </w:rPr>
        <w:tab/>
        <w:t>600 € /ménage</w:t>
      </w:r>
    </w:p>
    <w:p w:rsidR="00003946" w:rsidRPr="004A73AF" w:rsidRDefault="00003946" w:rsidP="00003946">
      <w:pPr>
        <w:numPr>
          <w:ilvl w:val="0"/>
          <w:numId w:val="6"/>
        </w:numPr>
        <w:suppressAutoHyphens w:val="0"/>
        <w:jc w:val="both"/>
        <w:rPr>
          <w:rFonts w:ascii="Arial" w:hAnsi="Arial" w:cs="Arial"/>
          <w:sz w:val="20"/>
          <w:szCs w:val="20"/>
        </w:rPr>
      </w:pPr>
      <w:r w:rsidRPr="004A73AF">
        <w:rPr>
          <w:rFonts w:ascii="Arial" w:hAnsi="Arial" w:cs="Arial"/>
          <w:sz w:val="20"/>
          <w:szCs w:val="20"/>
        </w:rPr>
        <w:t>Accompagnement :</w:t>
      </w:r>
      <w:r w:rsidRPr="004A73AF">
        <w:rPr>
          <w:rFonts w:ascii="Arial" w:hAnsi="Arial" w:cs="Arial"/>
          <w:sz w:val="20"/>
          <w:szCs w:val="20"/>
        </w:rPr>
        <w:tab/>
      </w:r>
      <w:r w:rsidRPr="004A73AF">
        <w:rPr>
          <w:rFonts w:ascii="Arial" w:hAnsi="Arial" w:cs="Arial"/>
          <w:sz w:val="20"/>
          <w:szCs w:val="20"/>
        </w:rPr>
        <w:tab/>
      </w:r>
      <w:r w:rsidR="004A73AF">
        <w:rPr>
          <w:rFonts w:ascii="Arial" w:hAnsi="Arial" w:cs="Arial"/>
          <w:sz w:val="20"/>
          <w:szCs w:val="20"/>
        </w:rPr>
        <w:t>10</w:t>
      </w:r>
      <w:r w:rsidRPr="004A73AF">
        <w:rPr>
          <w:rFonts w:ascii="Arial" w:hAnsi="Arial" w:cs="Arial"/>
          <w:sz w:val="20"/>
          <w:szCs w:val="20"/>
        </w:rPr>
        <w:t xml:space="preserve"> ménages</w:t>
      </w:r>
      <w:r w:rsidRPr="004A73AF">
        <w:rPr>
          <w:rFonts w:ascii="Arial" w:hAnsi="Arial" w:cs="Arial"/>
          <w:sz w:val="20"/>
          <w:szCs w:val="20"/>
        </w:rPr>
        <w:tab/>
      </w:r>
      <w:r w:rsidRPr="004A73AF">
        <w:rPr>
          <w:rFonts w:ascii="Arial" w:hAnsi="Arial" w:cs="Arial"/>
          <w:sz w:val="20"/>
          <w:szCs w:val="20"/>
        </w:rPr>
        <w:tab/>
      </w:r>
      <w:r w:rsidRPr="004A73AF">
        <w:rPr>
          <w:rFonts w:ascii="Arial" w:hAnsi="Arial" w:cs="Arial"/>
          <w:sz w:val="20"/>
          <w:szCs w:val="20"/>
        </w:rPr>
        <w:tab/>
      </w:r>
      <w:r w:rsidR="004A73AF">
        <w:rPr>
          <w:rFonts w:ascii="Arial" w:hAnsi="Arial" w:cs="Arial"/>
          <w:sz w:val="20"/>
          <w:szCs w:val="20"/>
        </w:rPr>
        <w:t>3000 €/ménage</w:t>
      </w:r>
    </w:p>
    <w:p w:rsidR="00003946" w:rsidRPr="004A73AF" w:rsidRDefault="00003946" w:rsidP="00003946">
      <w:pPr>
        <w:jc w:val="both"/>
        <w:rPr>
          <w:rFonts w:ascii="Arial" w:hAnsi="Arial" w:cs="Arial"/>
          <w:sz w:val="20"/>
          <w:szCs w:val="20"/>
        </w:rPr>
      </w:pPr>
    </w:p>
    <w:p w:rsidR="00003946" w:rsidRPr="004A73AF" w:rsidRDefault="00003946" w:rsidP="00003946">
      <w:pPr>
        <w:jc w:val="both"/>
        <w:rPr>
          <w:rFonts w:ascii="Arial" w:hAnsi="Arial" w:cs="Arial"/>
          <w:sz w:val="20"/>
          <w:szCs w:val="20"/>
        </w:rPr>
      </w:pPr>
    </w:p>
    <w:p w:rsidR="00003946" w:rsidRPr="004A73AF" w:rsidRDefault="00003946" w:rsidP="00003946">
      <w:pPr>
        <w:jc w:val="both"/>
        <w:rPr>
          <w:rFonts w:ascii="Arial" w:hAnsi="Arial" w:cs="Arial"/>
          <w:sz w:val="20"/>
          <w:szCs w:val="20"/>
        </w:rPr>
      </w:pPr>
      <w:r w:rsidRPr="004A73AF">
        <w:rPr>
          <w:rFonts w:ascii="Arial" w:hAnsi="Arial" w:cs="Arial"/>
          <w:sz w:val="20"/>
          <w:szCs w:val="20"/>
        </w:rPr>
        <w:t>Un budget global sera défini au lancement du projet. Les nombres de ménages cités correspondent à un « droit de tirage » annuel de la part du bailleur social.</w:t>
      </w:r>
    </w:p>
    <w:p w:rsidR="00003946" w:rsidRPr="004A73AF" w:rsidRDefault="00003946" w:rsidP="00003946">
      <w:pPr>
        <w:jc w:val="both"/>
        <w:rPr>
          <w:rFonts w:ascii="Arial" w:hAnsi="Arial" w:cs="Arial"/>
          <w:sz w:val="20"/>
          <w:szCs w:val="20"/>
        </w:rPr>
      </w:pPr>
    </w:p>
    <w:p w:rsidR="00AD697A" w:rsidRDefault="00AD697A">
      <w:pPr>
        <w:jc w:val="both"/>
      </w:pPr>
    </w:p>
    <w:p w:rsidR="00AD697A" w:rsidRDefault="00AD697A">
      <w:pPr>
        <w:jc w:val="both"/>
      </w:pPr>
    </w:p>
    <w:p w:rsidR="002F1D24" w:rsidRDefault="004156FF">
      <w:pPr>
        <w:jc w:val="both"/>
      </w:pPr>
      <w:r>
        <w:rPr>
          <w:noProof/>
          <w:lang w:eastAsia="fr-FR"/>
        </w:rPr>
        <w:drawing>
          <wp:anchor distT="0" distB="0" distL="114935" distR="114935" simplePos="0" relativeHeight="251659264" behindDoc="1" locked="0" layoutInCell="1" allowOverlap="1" wp14:anchorId="53F59452" wp14:editId="0F47FFE8">
            <wp:simplePos x="0" y="0"/>
            <wp:positionH relativeFrom="column">
              <wp:posOffset>-336550</wp:posOffset>
            </wp:positionH>
            <wp:positionV relativeFrom="paragraph">
              <wp:posOffset>82550</wp:posOffset>
            </wp:positionV>
            <wp:extent cx="2757805" cy="694055"/>
            <wp:effectExtent l="0" t="0" r="1079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60288" behindDoc="1" locked="0" layoutInCell="1" allowOverlap="1" wp14:anchorId="44E8885B" wp14:editId="27C3ECFE">
            <wp:simplePos x="0" y="0"/>
            <wp:positionH relativeFrom="column">
              <wp:posOffset>5081270</wp:posOffset>
            </wp:positionH>
            <wp:positionV relativeFrom="paragraph">
              <wp:posOffset>110490</wp:posOffset>
            </wp:positionV>
            <wp:extent cx="977265" cy="12534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 cy="1253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F1D24" w:rsidRDefault="002F1D24">
      <w:pPr>
        <w:jc w:val="both"/>
      </w:pPr>
    </w:p>
    <w:p w:rsidR="002F1D24" w:rsidRDefault="002F1D24">
      <w:pPr>
        <w:jc w:val="both"/>
      </w:pPr>
    </w:p>
    <w:p w:rsidR="002F1D24" w:rsidRDefault="002F1D24">
      <w:pPr>
        <w:jc w:val="both"/>
      </w:pPr>
    </w:p>
    <w:p w:rsidR="002F1D24" w:rsidRDefault="002F1D24">
      <w:pPr>
        <w:jc w:val="both"/>
      </w:pPr>
    </w:p>
    <w:p w:rsidR="002F1D24" w:rsidRDefault="002F1D24">
      <w:pPr>
        <w:jc w:val="both"/>
      </w:pPr>
    </w:p>
    <w:p w:rsidR="002F1D24" w:rsidRDefault="002F1D24">
      <w:pPr>
        <w:jc w:val="both"/>
      </w:pPr>
    </w:p>
    <w:p w:rsidR="00BF34A0" w:rsidRDefault="00BF34A0" w:rsidP="00BF34A0">
      <w:r>
        <w:rPr>
          <w:b/>
          <w:shd w:val="clear" w:color="auto" w:fill="F3F3F3"/>
        </w:rPr>
        <w:t xml:space="preserve">Inscription de la démarche dans la durée </w:t>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r>
        <w:rPr>
          <w:b/>
          <w:shd w:val="clear" w:color="auto" w:fill="F3F3F3"/>
        </w:rPr>
        <w:tab/>
      </w:r>
    </w:p>
    <w:p w:rsidR="00BF34A0" w:rsidRDefault="00BF34A0" w:rsidP="00BF34A0">
      <w:r w:rsidRPr="002D2E08">
        <w:rPr>
          <w:b/>
        </w:rPr>
        <w:t>Les engagements pris par les porteurs du projet portent sur une durée de :</w:t>
      </w:r>
      <w:r>
        <w:t xml:space="preserve"> </w:t>
      </w:r>
      <w:r w:rsidRPr="00A34A63">
        <w:rPr>
          <w:sz w:val="20"/>
          <w:szCs w:val="20"/>
          <w:lang w:eastAsia="en-US"/>
        </w:rPr>
        <w:t>2 ans</w:t>
      </w:r>
    </w:p>
    <w:p w:rsidR="002F1D24" w:rsidRDefault="002F1D24">
      <w:pPr>
        <w:jc w:val="both"/>
      </w:pPr>
    </w:p>
    <w:p w:rsidR="002F1D24" w:rsidRDefault="002F1D24">
      <w:pPr>
        <w:jc w:val="both"/>
      </w:pPr>
    </w:p>
    <w:p w:rsidR="00BF34A0" w:rsidRDefault="00BF34A0">
      <w:pPr>
        <w:jc w:val="both"/>
      </w:pPr>
      <w:bookmarkStart w:id="4" w:name="_GoBack"/>
      <w:bookmarkEnd w:id="4"/>
    </w:p>
    <w:p w:rsidR="00AD697A" w:rsidRDefault="00AD697A">
      <w:pPr>
        <w:jc w:val="both"/>
        <w:rPr>
          <w:sz w:val="12"/>
          <w:szCs w:val="12"/>
        </w:rPr>
      </w:pPr>
    </w:p>
    <w:p w:rsidR="00AD697A" w:rsidRDefault="00AD697A">
      <w:pPr>
        <w:pBdr>
          <w:top w:val="single" w:sz="1" w:space="1" w:color="000000"/>
          <w:left w:val="single" w:sz="1" w:space="1" w:color="000000"/>
          <w:bottom w:val="single" w:sz="1" w:space="1" w:color="000000"/>
          <w:right w:val="single" w:sz="1" w:space="1" w:color="000000"/>
        </w:pBdr>
        <w:jc w:val="both"/>
      </w:pPr>
      <w:r>
        <w:rPr>
          <w:b/>
        </w:rPr>
        <w:t>Avis du service départemental en charge des politiques sociales du logement (DDCS ou DDT) :</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proofErr w:type="gramStart"/>
      <w:r>
        <w:rPr>
          <w:i/>
        </w:rPr>
        <w:t>champ</w:t>
      </w:r>
      <w:proofErr w:type="gramEnd"/>
      <w:r>
        <w:rPr>
          <w:i/>
        </w:rPr>
        <w:t xml:space="preserve"> libre</w:t>
      </w: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jc w:val="both"/>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Pertinence du projet au regard des objectifs visés par l’appel à projets :</w:t>
      </w:r>
      <w:r>
        <w:rPr>
          <w:i/>
        </w:rPr>
        <w:t xml:space="preserve"> 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r>
        <w:rPr>
          <w:b/>
          <w:shd w:val="clear" w:color="auto" w:fill="F3F3F3"/>
        </w:rPr>
        <w:t xml:space="preserve">Caractère reproductible de la démarche : Faible  </w:t>
      </w:r>
      <w:bookmarkStart w:id="5" w:name="__Fieldmark__52125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5"/>
      <w:r>
        <w:rPr>
          <w:b/>
          <w:shd w:val="clear" w:color="auto" w:fill="F3F3F3"/>
        </w:rPr>
        <w:t xml:space="preserve">   Moyen   </w:t>
      </w:r>
      <w:bookmarkStart w:id="6" w:name="__Fieldmark__52126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6"/>
      <w:r>
        <w:rPr>
          <w:b/>
          <w:shd w:val="clear" w:color="auto" w:fill="F3F3F3"/>
        </w:rPr>
        <w:t xml:space="preserve">   Fort </w:t>
      </w:r>
      <w:bookmarkStart w:id="7" w:name="__Fieldmark__52127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7"/>
      <w:r>
        <w:rPr>
          <w:b/>
          <w:shd w:val="clear" w:color="auto" w:fill="F3F3F3"/>
        </w:rPr>
        <w:tab/>
      </w:r>
      <w:r>
        <w:rPr>
          <w:b/>
          <w:shd w:val="clear" w:color="auto" w:fill="F3F3F3"/>
        </w:rPr>
        <w:tab/>
      </w:r>
      <w:r>
        <w:rPr>
          <w:b/>
          <w:shd w:val="clear" w:color="auto" w:fill="F3F3F3"/>
        </w:rPr>
        <w:tab/>
      </w:r>
    </w:p>
    <w:p w:rsidR="00AD697A" w:rsidRDefault="00AD697A">
      <w:pPr>
        <w:pBdr>
          <w:top w:val="single" w:sz="1" w:space="1" w:color="000000"/>
          <w:left w:val="single" w:sz="1" w:space="1" w:color="000000"/>
          <w:bottom w:val="single" w:sz="1" w:space="1" w:color="000000"/>
          <w:right w:val="single" w:sz="1" w:space="1" w:color="000000"/>
        </w:pBdr>
        <w:jc w:val="both"/>
      </w:pPr>
      <w:r>
        <w:t xml:space="preserve">Conditions jugées nécessaires : </w:t>
      </w:r>
      <w:r>
        <w:rPr>
          <w:i/>
        </w:rPr>
        <w:t>champ libre</w:t>
      </w: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Pr>
        <w:pBdr>
          <w:top w:val="single" w:sz="1" w:space="1" w:color="000000"/>
          <w:left w:val="single" w:sz="1" w:space="1" w:color="000000"/>
          <w:bottom w:val="single" w:sz="1" w:space="1" w:color="000000"/>
          <w:right w:val="single" w:sz="1" w:space="1" w:color="000000"/>
        </w:pBdr>
      </w:pPr>
    </w:p>
    <w:p w:rsidR="00AD697A" w:rsidRDefault="00AD697A"/>
    <w:p w:rsidR="00AD697A" w:rsidRDefault="00AD697A"/>
    <w:p w:rsidR="000C3668" w:rsidRDefault="000C3668"/>
    <w:p w:rsidR="000C3668" w:rsidRDefault="000C3668"/>
    <w:p w:rsidR="000C3668" w:rsidRDefault="000C3668"/>
    <w:p w:rsidR="000C3668" w:rsidRDefault="000C3668"/>
    <w:tbl>
      <w:tblPr>
        <w:tblW w:w="0" w:type="auto"/>
        <w:tblInd w:w="-90" w:type="dxa"/>
        <w:tblLayout w:type="fixed"/>
        <w:tblLook w:val="0000" w:firstRow="0" w:lastRow="0" w:firstColumn="0" w:lastColumn="0" w:noHBand="0" w:noVBand="0"/>
      </w:tblPr>
      <w:tblGrid>
        <w:gridCol w:w="4654"/>
        <w:gridCol w:w="2410"/>
        <w:gridCol w:w="2328"/>
      </w:tblGrid>
      <w:tr w:rsidR="00AD697A">
        <w:tc>
          <w:tcPr>
            <w:tcW w:w="4654" w:type="dxa"/>
            <w:tcBorders>
              <w:top w:val="single" w:sz="4" w:space="0" w:color="000000"/>
              <w:left w:val="single" w:sz="4" w:space="0" w:color="000000"/>
            </w:tcBorders>
            <w:shd w:val="clear" w:color="auto" w:fill="auto"/>
          </w:tcPr>
          <w:p w:rsidR="00AD697A" w:rsidRDefault="00AD697A">
            <w:pPr>
              <w:rPr>
                <w:b/>
              </w:rPr>
            </w:pPr>
            <w:r>
              <w:rPr>
                <w:b/>
              </w:rPr>
              <w:t>Avis global formulé par le niveau régional (DREAL en collaboration avec DRJSCS) :</w:t>
            </w:r>
          </w:p>
        </w:tc>
        <w:tc>
          <w:tcPr>
            <w:tcW w:w="2410" w:type="dxa"/>
            <w:tcBorders>
              <w:top w:val="single" w:sz="4" w:space="0" w:color="000000"/>
            </w:tcBorders>
            <w:shd w:val="clear" w:color="auto" w:fill="auto"/>
          </w:tcPr>
          <w:p w:rsidR="00AD697A" w:rsidRDefault="00AD697A">
            <w:pPr>
              <w:rPr>
                <w:b/>
              </w:rPr>
            </w:pPr>
            <w:r>
              <w:rPr>
                <w:b/>
              </w:rPr>
              <w:t xml:space="preserve">Favorable </w:t>
            </w:r>
            <w:r>
              <w:rPr>
                <w:b/>
              </w:rPr>
              <w:tab/>
            </w:r>
            <w:bookmarkStart w:id="8" w:name="__Fieldmark__52128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8"/>
          </w:p>
        </w:tc>
        <w:tc>
          <w:tcPr>
            <w:tcW w:w="2328" w:type="dxa"/>
            <w:tcBorders>
              <w:top w:val="single" w:sz="4" w:space="0" w:color="000000"/>
              <w:right w:val="single" w:sz="4" w:space="0" w:color="000000"/>
            </w:tcBorders>
            <w:shd w:val="clear" w:color="auto" w:fill="auto"/>
          </w:tcPr>
          <w:p w:rsidR="00AD697A" w:rsidRDefault="00AD697A">
            <w:r>
              <w:rPr>
                <w:b/>
              </w:rPr>
              <w:t>Défavorable</w:t>
            </w:r>
            <w:r>
              <w:rPr>
                <w:b/>
              </w:rPr>
              <w:tab/>
            </w:r>
            <w:bookmarkStart w:id="9" w:name="__Fieldmark__52129_1547060978"/>
            <w:r>
              <w:fldChar w:fldCharType="begin">
                <w:ffData>
                  <w:name w:val=""/>
                  <w:enabled/>
                  <w:calcOnExit w:val="0"/>
                  <w:checkBox>
                    <w:sizeAuto/>
                    <w:default w:val="0"/>
                    <w:checked w:val="0"/>
                  </w:checkBox>
                </w:ffData>
              </w:fldChar>
            </w:r>
            <w:r>
              <w:instrText xml:space="preserve"> </w:instrText>
            </w:r>
            <w:r w:rsidR="004F56F9">
              <w:instrText>FORMCHECKBOX</w:instrText>
            </w:r>
            <w:r>
              <w:instrText xml:space="preserve"> </w:instrText>
            </w:r>
            <w:r>
              <w:fldChar w:fldCharType="end"/>
            </w:r>
            <w:bookmarkEnd w:id="9"/>
          </w:p>
        </w:tc>
      </w:tr>
      <w:tr w:rsidR="00AD697A" w:rsidTr="00DD7934">
        <w:trPr>
          <w:trHeight w:val="3173"/>
        </w:trPr>
        <w:tc>
          <w:tcPr>
            <w:tcW w:w="9392" w:type="dxa"/>
            <w:gridSpan w:val="3"/>
            <w:tcBorders>
              <w:left w:val="single" w:sz="4" w:space="0" w:color="000000"/>
              <w:bottom w:val="single" w:sz="4" w:space="0" w:color="000000"/>
              <w:right w:val="single" w:sz="4" w:space="0" w:color="000000"/>
            </w:tcBorders>
            <w:shd w:val="clear" w:color="auto" w:fill="auto"/>
          </w:tcPr>
          <w:p w:rsidR="00AD697A" w:rsidRDefault="00AD697A">
            <w:pPr>
              <w:jc w:val="both"/>
            </w:pPr>
          </w:p>
          <w:p w:rsidR="00AD697A" w:rsidRDefault="00AD697A">
            <w:pPr>
              <w:jc w:val="both"/>
            </w:pPr>
            <w:r>
              <w:rPr>
                <w:i/>
              </w:rPr>
              <w:t>champ libre</w:t>
            </w:r>
            <w:r>
              <w:t xml:space="preserve"> </w:t>
            </w:r>
          </w:p>
          <w:p w:rsidR="00AD697A" w:rsidRDefault="00AD697A">
            <w:pPr>
              <w:jc w:val="both"/>
            </w:pPr>
          </w:p>
          <w:p w:rsidR="00AD697A" w:rsidRDefault="00AD697A">
            <w:pPr>
              <w:jc w:val="both"/>
            </w:pPr>
          </w:p>
          <w:p w:rsidR="00AD697A" w:rsidRDefault="00AD697A">
            <w:pPr>
              <w:jc w:val="both"/>
            </w:pPr>
          </w:p>
          <w:p w:rsidR="00AD697A" w:rsidRDefault="00AD697A">
            <w:pPr>
              <w:jc w:val="both"/>
            </w:pPr>
          </w:p>
          <w:p w:rsidR="00AD697A" w:rsidRDefault="00AD697A">
            <w:pPr>
              <w:jc w:val="both"/>
            </w:pPr>
          </w:p>
          <w:p w:rsidR="00AD697A" w:rsidRDefault="00AD697A">
            <w:pPr>
              <w:jc w:val="both"/>
            </w:pPr>
          </w:p>
        </w:tc>
      </w:tr>
    </w:tbl>
    <w:p w:rsidR="00AD697A" w:rsidRDefault="00AD697A"/>
    <w:sectPr w:rsidR="00AD697A">
      <w:footerReference w:type="default" r:id="rId1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80" w:rsidRDefault="00C87480">
      <w:r>
        <w:separator/>
      </w:r>
    </w:p>
  </w:endnote>
  <w:endnote w:type="continuationSeparator" w:id="0">
    <w:p w:rsidR="00C87480" w:rsidRDefault="00C8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46" w:rsidRDefault="00003946">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65405" cy="163830"/>
              <wp:effectExtent l="5080" t="635" r="571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946" w:rsidRDefault="00003946">
                          <w:pPr>
                            <w:pStyle w:val="Pieddepage"/>
                          </w:pPr>
                          <w:r>
                            <w:rPr>
                              <w:rStyle w:val="Numrodepage"/>
                            </w:rPr>
                            <w:fldChar w:fldCharType="begin"/>
                          </w:r>
                          <w:r>
                            <w:rPr>
                              <w:rStyle w:val="Numrodepage"/>
                            </w:rPr>
                            <w:instrText xml:space="preserve"> PAGE </w:instrText>
                          </w:r>
                          <w:r>
                            <w:rPr>
                              <w:rStyle w:val="Numrodepage"/>
                            </w:rPr>
                            <w:fldChar w:fldCharType="separate"/>
                          </w:r>
                          <w:r w:rsidR="00BF34A0">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5.15pt;height:12.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rAiQ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" stroked="f">
              <v:fill opacity="0"/>
              <v:textbox inset="0,0,0,0">
                <w:txbxContent>
                  <w:p w:rsidR="00003946" w:rsidRDefault="00003946">
                    <w:pPr>
                      <w:pStyle w:val="Pieddepage"/>
                    </w:pPr>
                    <w:r>
                      <w:rPr>
                        <w:rStyle w:val="Numrodepage"/>
                      </w:rPr>
                      <w:fldChar w:fldCharType="begin"/>
                    </w:r>
                    <w:r>
                      <w:rPr>
                        <w:rStyle w:val="Numrodepage"/>
                      </w:rPr>
                      <w:instrText xml:space="preserve"> PAGE </w:instrText>
                    </w:r>
                    <w:r>
                      <w:rPr>
                        <w:rStyle w:val="Numrodepage"/>
                      </w:rPr>
                      <w:fldChar w:fldCharType="separate"/>
                    </w:r>
                    <w:r w:rsidR="00BF34A0">
                      <w:rPr>
                        <w:rStyle w:val="Numrodepage"/>
                        <w:noProof/>
                      </w:rPr>
                      <w:t>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80" w:rsidRDefault="00C87480">
      <w:r>
        <w:separator/>
      </w:r>
    </w:p>
  </w:footnote>
  <w:footnote w:type="continuationSeparator" w:id="0">
    <w:p w:rsidR="00C87480" w:rsidRDefault="00C87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ACC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FE2152"/>
    <w:multiLevelType w:val="hybridMultilevel"/>
    <w:tmpl w:val="EFEE42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0B07C1B"/>
    <w:multiLevelType w:val="hybridMultilevel"/>
    <w:tmpl w:val="E34EEB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1A7AE3"/>
    <w:multiLevelType w:val="hybridMultilevel"/>
    <w:tmpl w:val="404C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9E7A49"/>
    <w:multiLevelType w:val="hybridMultilevel"/>
    <w:tmpl w:val="192067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A357C6D"/>
    <w:multiLevelType w:val="hybridMultilevel"/>
    <w:tmpl w:val="8E5AA2FA"/>
    <w:lvl w:ilvl="0" w:tplc="82FC8D34">
      <w:numFmt w:val="bullet"/>
      <w:lvlText w:val="-"/>
      <w:lvlJc w:val="left"/>
      <w:pPr>
        <w:ind w:left="1065" w:hanging="360"/>
      </w:pPr>
      <w:rPr>
        <w:rFonts w:ascii="Gill Sans MT" w:eastAsia="Times New Roman" w:hAnsi="Gill Sans MT"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68"/>
    <w:rsid w:val="00003946"/>
    <w:rsid w:val="000C3668"/>
    <w:rsid w:val="000E5C7F"/>
    <w:rsid w:val="00120710"/>
    <w:rsid w:val="00156234"/>
    <w:rsid w:val="00170EF6"/>
    <w:rsid w:val="0019500C"/>
    <w:rsid w:val="001A7D9D"/>
    <w:rsid w:val="002D2E08"/>
    <w:rsid w:val="002F1D24"/>
    <w:rsid w:val="003B3A3F"/>
    <w:rsid w:val="004156FF"/>
    <w:rsid w:val="004A73AF"/>
    <w:rsid w:val="004F56F9"/>
    <w:rsid w:val="00520ED1"/>
    <w:rsid w:val="00526AC8"/>
    <w:rsid w:val="005D44FF"/>
    <w:rsid w:val="00623740"/>
    <w:rsid w:val="00692E8C"/>
    <w:rsid w:val="00695C6D"/>
    <w:rsid w:val="00761EF3"/>
    <w:rsid w:val="00772850"/>
    <w:rsid w:val="009927B0"/>
    <w:rsid w:val="0099520B"/>
    <w:rsid w:val="009C19CA"/>
    <w:rsid w:val="00A34A63"/>
    <w:rsid w:val="00AB716E"/>
    <w:rsid w:val="00AD697A"/>
    <w:rsid w:val="00B53EDE"/>
    <w:rsid w:val="00B76DA5"/>
    <w:rsid w:val="00BE6BA7"/>
    <w:rsid w:val="00BF34A0"/>
    <w:rsid w:val="00C87480"/>
    <w:rsid w:val="00C974C9"/>
    <w:rsid w:val="00CA1524"/>
    <w:rsid w:val="00DB7C24"/>
    <w:rsid w:val="00DD2F6D"/>
    <w:rsid w:val="00DD7934"/>
    <w:rsid w:val="00ED765D"/>
    <w:rsid w:val="00F551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4">
    <w:name w:val="Police par défaut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Policepardfaut3">
    <w:name w:val="Police par défaut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Policepardfaut2">
    <w:name w:val="Police par défaut2"/>
  </w:style>
  <w:style w:type="character" w:customStyle="1" w:styleId="WW-Absatz-Standardschriftart111111111111">
    <w:name w:val="WW-Absatz-Standardschriftart111111111111"/>
  </w:style>
  <w:style w:type="character" w:customStyle="1" w:styleId="Policepardfaut1">
    <w:name w:val="Police par défaut1"/>
  </w:style>
  <w:style w:type="character" w:styleId="Numrodepage">
    <w:name w:val="page number"/>
    <w:basedOn w:val="Policepardfaut1"/>
  </w:style>
  <w:style w:type="paragraph" w:customStyle="1" w:styleId="Titre4">
    <w:name w:val="Titre4"/>
    <w:basedOn w:val="Normal"/>
    <w:next w:val="Corpsdetexte"/>
    <w:pPr>
      <w:keepNext/>
      <w:spacing w:before="240" w:after="120"/>
    </w:pPr>
    <w:rPr>
      <w:rFonts w:ascii="Liberation Sans" w:eastAsia="SimSun"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3">
    <w:name w:val="Titre3"/>
    <w:basedOn w:val="Normal"/>
    <w:next w:val="Corpsdetexte"/>
    <w:pPr>
      <w:keepNext/>
      <w:spacing w:before="240" w:after="120"/>
    </w:pPr>
    <w:rPr>
      <w:rFonts w:ascii="Liberation Sans" w:eastAsia="SimSun" w:hAnsi="Liberation Sans" w:cs="Mangal"/>
      <w:sz w:val="28"/>
      <w:szCs w:val="28"/>
    </w:rPr>
  </w:style>
  <w:style w:type="paragraph" w:customStyle="1" w:styleId="Titre2">
    <w:name w:val="Titre2"/>
    <w:basedOn w:val="Normal"/>
    <w:next w:val="Corpsdetexte"/>
    <w:pPr>
      <w:keepNext/>
      <w:spacing w:before="240" w:after="120"/>
    </w:pPr>
    <w:rPr>
      <w:rFonts w:ascii="Liberation Sans" w:eastAsia="SimSun" w:hAnsi="Liberation Sans" w:cs="Mangal"/>
      <w:sz w:val="28"/>
      <w:szCs w:val="28"/>
    </w:rPr>
  </w:style>
  <w:style w:type="paragraph" w:customStyle="1" w:styleId="Titre1">
    <w:name w:val="Titre1"/>
    <w:basedOn w:val="Normal"/>
    <w:next w:val="Corpsdetexte"/>
    <w:pPr>
      <w:keepNext/>
      <w:spacing w:before="240" w:after="120"/>
    </w:pPr>
    <w:rPr>
      <w:rFonts w:ascii="Liberation Sans" w:eastAsia="SimSun" w:hAnsi="Liberation Sans" w:cs="Mangal"/>
      <w:sz w:val="28"/>
      <w:szCs w:val="28"/>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Appel à projets Mise en place de 10 000 logements HLM accompagnés</vt:lpstr>
    </vt:vector>
  </TitlesOfParts>
  <Company>ICF</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Mise en place de 10 000 logements HLM accompagnés</dc:title>
  <dc:creator>cecile.cardot</dc:creator>
  <cp:lastModifiedBy>MOMAL Véronique</cp:lastModifiedBy>
  <cp:revision>4</cp:revision>
  <cp:lastPrinted>2014-05-13T11:30:00Z</cp:lastPrinted>
  <dcterms:created xsi:type="dcterms:W3CDTF">2014-05-13T09:48:00Z</dcterms:created>
  <dcterms:modified xsi:type="dcterms:W3CDTF">2014-05-13T11:51:00Z</dcterms:modified>
</cp:coreProperties>
</file>