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697A" w:rsidRDefault="00EB0A3C">
      <w:bookmarkStart w:id="0" w:name="_GoBack"/>
      <w:bookmarkEnd w:id="0"/>
      <w:r>
        <w:rPr>
          <w:b/>
          <w:noProof/>
          <w:lang w:eastAsia="fr-FR"/>
        </w:rPr>
        <w:drawing>
          <wp:anchor distT="0" distB="0" distL="114935" distR="114935" simplePos="0" relativeHeight="251656192" behindDoc="1" locked="0" layoutInCell="1" allowOverlap="1">
            <wp:simplePos x="0" y="0"/>
            <wp:positionH relativeFrom="column">
              <wp:posOffset>-708660</wp:posOffset>
            </wp:positionH>
            <wp:positionV relativeFrom="paragraph">
              <wp:posOffset>-204470</wp:posOffset>
            </wp:positionV>
            <wp:extent cx="2757805" cy="694055"/>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805" cy="694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935" distR="114935" simplePos="0" relativeHeight="251655168" behindDoc="1" locked="0" layoutInCell="1" allowOverlap="1">
            <wp:simplePos x="0" y="0"/>
            <wp:positionH relativeFrom="column">
              <wp:posOffset>5186680</wp:posOffset>
            </wp:positionH>
            <wp:positionV relativeFrom="paragraph">
              <wp:posOffset>-551180</wp:posOffset>
            </wp:positionV>
            <wp:extent cx="977265" cy="1253490"/>
            <wp:effectExtent l="0" t="0" r="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1253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C3668" w:rsidRDefault="000C3668"/>
    <w:p w:rsidR="000C3668" w:rsidRDefault="000C3668"/>
    <w:p w:rsidR="00695C6D" w:rsidRDefault="00695C6D"/>
    <w:p w:rsidR="00695C6D" w:rsidRDefault="00695C6D"/>
    <w:p w:rsidR="000C3668" w:rsidRDefault="000C3668" w:rsidP="000C3668">
      <w:pPr>
        <w:pBdr>
          <w:top w:val="single" w:sz="4" w:space="1" w:color="000000"/>
          <w:left w:val="single" w:sz="4" w:space="4" w:color="000000"/>
          <w:bottom w:val="single" w:sz="4" w:space="1" w:color="000000"/>
          <w:right w:val="single" w:sz="4" w:space="0" w:color="000000"/>
        </w:pBdr>
        <w:jc w:val="center"/>
        <w:rPr>
          <w:b/>
        </w:rPr>
      </w:pPr>
      <w:r>
        <w:rPr>
          <w:b/>
        </w:rPr>
        <w:t>Appel à projets</w:t>
      </w:r>
    </w:p>
    <w:p w:rsidR="000C3668" w:rsidRDefault="000C3668" w:rsidP="000C3668">
      <w:pPr>
        <w:pBdr>
          <w:top w:val="single" w:sz="4" w:space="1" w:color="000000"/>
          <w:left w:val="single" w:sz="4" w:space="4" w:color="000000"/>
          <w:bottom w:val="single" w:sz="4" w:space="1" w:color="000000"/>
          <w:right w:val="single" w:sz="4" w:space="0" w:color="000000"/>
        </w:pBdr>
        <w:jc w:val="center"/>
        <w:rPr>
          <w:b/>
        </w:rPr>
      </w:pPr>
      <w:r>
        <w:rPr>
          <w:b/>
        </w:rPr>
        <w:t>Mise en place de 10 000 logements HLM accompagnés</w:t>
      </w:r>
    </w:p>
    <w:p w:rsidR="000C3668" w:rsidRDefault="000C3668" w:rsidP="000C3668">
      <w:pPr>
        <w:pBdr>
          <w:top w:val="single" w:sz="4" w:space="1" w:color="000000"/>
          <w:left w:val="single" w:sz="4" w:space="4" w:color="000000"/>
          <w:bottom w:val="single" w:sz="4" w:space="1" w:color="000000"/>
          <w:right w:val="single" w:sz="4" w:space="0" w:color="000000"/>
        </w:pBdr>
        <w:jc w:val="center"/>
      </w:pPr>
      <w:r>
        <w:rPr>
          <w:b/>
        </w:rPr>
        <w:t>Présentation synthétique du projet</w:t>
      </w:r>
    </w:p>
    <w:p w:rsidR="000C3668" w:rsidRDefault="000C3668"/>
    <w:p w:rsidR="00AD697A" w:rsidRDefault="00AD697A"/>
    <w:p w:rsidR="00AD697A" w:rsidRDefault="00AD697A">
      <w:pPr>
        <w:rPr>
          <w:b/>
        </w:rPr>
      </w:pPr>
      <w:r>
        <w:rPr>
          <w:b/>
        </w:rPr>
        <w:t xml:space="preserve">Localisation du projet : </w:t>
      </w:r>
      <w:r w:rsidR="00CF2CF0">
        <w:rPr>
          <w:i/>
        </w:rPr>
        <w:t>Calvados</w:t>
      </w:r>
      <w:r w:rsidR="00631123">
        <w:rPr>
          <w:i/>
        </w:rPr>
        <w:t xml:space="preserve"> – Ville de Caen</w:t>
      </w:r>
    </w:p>
    <w:p w:rsidR="00AD697A" w:rsidRDefault="00AD697A">
      <w:pPr>
        <w:rPr>
          <w:b/>
        </w:rPr>
      </w:pPr>
      <w:r>
        <w:rPr>
          <w:b/>
        </w:rPr>
        <w:t>Nom du projet :</w:t>
      </w:r>
      <w:r>
        <w:t xml:space="preserve"> </w:t>
      </w:r>
      <w:r w:rsidR="00CF2CF0">
        <w:t>Création d'une offre de 120 logements accompagnés sur 3 ans</w:t>
      </w:r>
    </w:p>
    <w:p w:rsidR="00AD697A" w:rsidRDefault="00AD697A">
      <w:pPr>
        <w:rPr>
          <w:i/>
        </w:rPr>
      </w:pPr>
      <w:r>
        <w:rPr>
          <w:b/>
        </w:rPr>
        <w:t>Statut et nom du ou des porteur(s) du projet :</w:t>
      </w:r>
      <w:r>
        <w:rPr>
          <w:i/>
        </w:rPr>
        <w:t xml:space="preserve"> </w:t>
      </w:r>
    </w:p>
    <w:p w:rsidR="00CF2CF0" w:rsidRPr="00004CF8" w:rsidRDefault="00CF2CF0" w:rsidP="00004CF8">
      <w:pPr>
        <w:pStyle w:val="Paragraphedeliste"/>
        <w:numPr>
          <w:ilvl w:val="0"/>
          <w:numId w:val="1"/>
        </w:numPr>
        <w:ind w:left="567" w:hanging="207"/>
        <w:rPr>
          <w:i/>
        </w:rPr>
      </w:pPr>
      <w:r w:rsidRPr="00004CF8">
        <w:rPr>
          <w:i/>
        </w:rPr>
        <w:t>Caen habitat –</w:t>
      </w:r>
      <w:r w:rsidR="00004CF8" w:rsidRPr="00004CF8">
        <w:rPr>
          <w:i/>
        </w:rPr>
        <w:t xml:space="preserve"> Office Public de l'Habitat de la V</w:t>
      </w:r>
      <w:r w:rsidRPr="00004CF8">
        <w:rPr>
          <w:i/>
        </w:rPr>
        <w:t>ille de Caen</w:t>
      </w:r>
    </w:p>
    <w:p w:rsidR="00CF2CF0" w:rsidRPr="00004CF8" w:rsidRDefault="00004CF8" w:rsidP="00004CF8">
      <w:pPr>
        <w:pStyle w:val="Paragraphedeliste"/>
        <w:numPr>
          <w:ilvl w:val="0"/>
          <w:numId w:val="1"/>
        </w:numPr>
        <w:ind w:left="567" w:hanging="207"/>
        <w:rPr>
          <w:b/>
        </w:rPr>
      </w:pPr>
      <w:r w:rsidRPr="00004CF8">
        <w:rPr>
          <w:i/>
        </w:rPr>
        <w:t>Le Centre communal d'action sociale de la Ville de Caen</w:t>
      </w:r>
    </w:p>
    <w:p w:rsidR="00AD697A" w:rsidRDefault="00AD697A" w:rsidP="00631123">
      <w:pPr>
        <w:jc w:val="both"/>
      </w:pPr>
      <w:r>
        <w:rPr>
          <w:b/>
        </w:rPr>
        <w:t>Descriptif sommaire du projet et objectifs poursuivis :</w:t>
      </w:r>
      <w:r>
        <w:rPr>
          <w:i/>
        </w:rPr>
        <w:t xml:space="preserve"> </w:t>
      </w:r>
      <w:r w:rsidR="00004CF8">
        <w:rPr>
          <w:i/>
        </w:rPr>
        <w:t xml:space="preserve">Le projet </w:t>
      </w:r>
      <w:r w:rsidR="00D51F5B">
        <w:rPr>
          <w:i/>
        </w:rPr>
        <w:t xml:space="preserve">vise la mise en œuvre de 120 logements accompagnés sur trois ans, suivant des modalités de gestion locative </w:t>
      </w:r>
      <w:r w:rsidR="00631123">
        <w:rPr>
          <w:i/>
        </w:rPr>
        <w:t xml:space="preserve">et d'accompagnement social adaptées, </w:t>
      </w:r>
      <w:r w:rsidR="00D51F5B">
        <w:rPr>
          <w:i/>
        </w:rPr>
        <w:t>au profit d</w:t>
      </w:r>
      <w:r w:rsidR="00631123">
        <w:rPr>
          <w:i/>
        </w:rPr>
        <w:t>e publics prioritaires du PDALPD.</w:t>
      </w:r>
    </w:p>
    <w:p w:rsidR="00AD697A" w:rsidRDefault="00AD697A"/>
    <w:p w:rsidR="00AD697A" w:rsidRDefault="00AD697A">
      <w:pPr>
        <w:pBdr>
          <w:top w:val="single" w:sz="4" w:space="1" w:color="000000"/>
          <w:left w:val="single" w:sz="4" w:space="4" w:color="000000"/>
          <w:bottom w:val="single" w:sz="4" w:space="1" w:color="000000"/>
          <w:right w:val="single" w:sz="4" w:space="4" w:color="000000"/>
        </w:pBdr>
        <w:jc w:val="center"/>
      </w:pPr>
      <w:r>
        <w:rPr>
          <w:b/>
        </w:rPr>
        <w:t>Publics cibles du projet</w:t>
      </w:r>
    </w:p>
    <w:p w:rsidR="00AD697A" w:rsidRDefault="00AD697A">
      <w:r>
        <w:t>Nombre de ménages accompagnés :</w:t>
      </w:r>
      <w:r>
        <w:rPr>
          <w:b/>
        </w:rPr>
        <w:t xml:space="preserve"> </w:t>
      </w:r>
      <w:r w:rsidR="007372BA">
        <w:rPr>
          <w:b/>
        </w:rPr>
        <w:t>120</w:t>
      </w:r>
    </w:p>
    <w:p w:rsidR="00AD697A" w:rsidRDefault="00AD697A">
      <w:pPr>
        <w:jc w:val="both"/>
      </w:pPr>
      <w:r>
        <w:t xml:space="preserve">Ménages éligibles au DALO oui </w:t>
      </w:r>
      <w:r w:rsidR="007372BA">
        <w:fldChar w:fldCharType="begin">
          <w:ffData>
            <w:name w:val=""/>
            <w:enabled/>
            <w:calcOnExit w:val="0"/>
            <w:checkBox>
              <w:size w:val="24"/>
              <w:default w:val="1"/>
            </w:checkBox>
          </w:ffData>
        </w:fldChar>
      </w:r>
      <w:r w:rsidR="007372BA">
        <w:instrText xml:space="preserve"> FORMCHECKBOX </w:instrText>
      </w:r>
      <w:r w:rsidR="001265EA">
        <w:fldChar w:fldCharType="separate"/>
      </w:r>
      <w:r w:rsidR="007372BA">
        <w:fldChar w:fldCharType="end"/>
      </w:r>
      <w:r>
        <w:tab/>
        <w:t xml:space="preserve">non </w:t>
      </w:r>
      <w:bookmarkStart w:id="1" w:name="__Fieldmark__52109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1"/>
      <w:r>
        <w:t xml:space="preserve"> </w:t>
      </w:r>
    </w:p>
    <w:p w:rsidR="00AD697A" w:rsidRDefault="00AD697A">
      <w:pPr>
        <w:jc w:val="both"/>
      </w:pPr>
      <w:r>
        <w:t xml:space="preserve">ou des accords collectifs        oui </w:t>
      </w:r>
      <w:r w:rsidR="007372BA">
        <w:fldChar w:fldCharType="begin">
          <w:ffData>
            <w:name w:val=""/>
            <w:enabled/>
            <w:calcOnExit w:val="0"/>
            <w:checkBox>
              <w:size w:val="24"/>
              <w:default w:val="1"/>
            </w:checkBox>
          </w:ffData>
        </w:fldChar>
      </w:r>
      <w:r w:rsidR="007372BA">
        <w:instrText xml:space="preserve"> FORMCHECKBOX </w:instrText>
      </w:r>
      <w:r w:rsidR="001265EA">
        <w:fldChar w:fldCharType="separate"/>
      </w:r>
      <w:r w:rsidR="007372BA">
        <w:fldChar w:fldCharType="end"/>
      </w:r>
      <w:r>
        <w:tab/>
        <w:t xml:space="preserve">non </w:t>
      </w:r>
      <w:bookmarkStart w:id="2" w:name="__Fieldmark__52111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2"/>
    </w:p>
    <w:p w:rsidR="00AD697A" w:rsidRDefault="00AD697A">
      <w:pPr>
        <w:jc w:val="both"/>
      </w:pPr>
      <w:r>
        <w:t xml:space="preserve">ou relevant globalement des publics cibles du PDALPD     oui </w:t>
      </w:r>
      <w:r w:rsidR="007372BA">
        <w:fldChar w:fldCharType="begin">
          <w:ffData>
            <w:name w:val=""/>
            <w:enabled/>
            <w:calcOnExit w:val="0"/>
            <w:checkBox>
              <w:size w:val="24"/>
              <w:default w:val="1"/>
            </w:checkBox>
          </w:ffData>
        </w:fldChar>
      </w:r>
      <w:r w:rsidR="007372BA">
        <w:instrText xml:space="preserve"> FORMCHECKBOX </w:instrText>
      </w:r>
      <w:r w:rsidR="001265EA">
        <w:fldChar w:fldCharType="separate"/>
      </w:r>
      <w:r w:rsidR="007372BA">
        <w:fldChar w:fldCharType="end"/>
      </w:r>
      <w:r>
        <w:tab/>
        <w:t xml:space="preserve">non </w:t>
      </w:r>
      <w:bookmarkStart w:id="3" w:name="__Fieldmark__52113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3"/>
    </w:p>
    <w:p w:rsidR="00AD697A" w:rsidRDefault="00AD697A">
      <w:pPr>
        <w:jc w:val="both"/>
      </w:pPr>
    </w:p>
    <w:p w:rsidR="00AD697A" w:rsidRDefault="00AD697A">
      <w:pPr>
        <w:jc w:val="both"/>
      </w:pPr>
      <w:r>
        <w:t xml:space="preserve">Caractéristiques des publics cibles (typologie des ménages, problématiques rencontrées, ressources) : </w:t>
      </w:r>
      <w:r w:rsidR="007372BA">
        <w:rPr>
          <w:i/>
        </w:rPr>
        <w:t xml:space="preserve">Il s'agit d'accompagner </w:t>
      </w:r>
      <w:r w:rsidR="00C651B4">
        <w:rPr>
          <w:i/>
        </w:rPr>
        <w:t>des publics pour lesquels des freins à la gestion autonome d'un logement ont été identifiés dans le cadre d'un diagnostic social.</w:t>
      </w:r>
    </w:p>
    <w:p w:rsidR="00AD697A" w:rsidRDefault="00AD697A"/>
    <w:p w:rsidR="00AD697A" w:rsidRDefault="00AD697A">
      <w:pPr>
        <w:pBdr>
          <w:top w:val="single" w:sz="4" w:space="1" w:color="000000"/>
          <w:left w:val="single" w:sz="4" w:space="4" w:color="000000"/>
          <w:bottom w:val="single" w:sz="4" w:space="1" w:color="000000"/>
          <w:right w:val="single" w:sz="4" w:space="4" w:color="000000"/>
        </w:pBdr>
        <w:jc w:val="center"/>
      </w:pPr>
      <w:r>
        <w:rPr>
          <w:b/>
        </w:rPr>
        <w:t>Modalités de mobilisation des logements</w:t>
      </w:r>
    </w:p>
    <w:p w:rsidR="00AD697A" w:rsidRDefault="00AD697A">
      <w:pPr>
        <w:jc w:val="both"/>
      </w:pPr>
      <w:r>
        <w:t xml:space="preserve">Création d’une offre nouvelle </w:t>
      </w:r>
      <w:bookmarkStart w:id="4" w:name="__Fieldmark__52114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4"/>
      <w:r>
        <w:tab/>
        <w:t xml:space="preserve">Aménagement de logement existant </w:t>
      </w:r>
      <w:bookmarkStart w:id="5" w:name="__Fieldmark__52115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5"/>
      <w:r>
        <w:t xml:space="preserve">    Mobilisation de logements existants sans aménagement </w:t>
      </w:r>
      <w:r w:rsidR="00C651B4">
        <w:fldChar w:fldCharType="begin">
          <w:ffData>
            <w:name w:val=""/>
            <w:enabled/>
            <w:calcOnExit w:val="0"/>
            <w:checkBox>
              <w:size w:val="24"/>
              <w:default w:val="1"/>
            </w:checkBox>
          </w:ffData>
        </w:fldChar>
      </w:r>
      <w:r w:rsidR="00C651B4">
        <w:instrText xml:space="preserve"> FORMCHECKBOX </w:instrText>
      </w:r>
      <w:r w:rsidR="001265EA">
        <w:fldChar w:fldCharType="separate"/>
      </w:r>
      <w:r w:rsidR="00C651B4">
        <w:fldChar w:fldCharType="end"/>
      </w:r>
    </w:p>
    <w:p w:rsidR="00AD697A" w:rsidRDefault="00AD697A">
      <w:r>
        <w:t xml:space="preserve">Reclassement offre existante en offre à bas loyer </w:t>
      </w:r>
      <w:bookmarkStart w:id="6" w:name="__Fieldmark__52117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6"/>
    </w:p>
    <w:p w:rsidR="00AD697A" w:rsidRDefault="00AD697A">
      <w:r>
        <w:t>Nombre de logements :</w:t>
      </w:r>
      <w:r w:rsidR="00C651B4">
        <w:t xml:space="preserve"> </w:t>
      </w:r>
      <w:r w:rsidR="00C651B4" w:rsidRPr="00C651B4">
        <w:rPr>
          <w:b/>
        </w:rPr>
        <w:t>120</w:t>
      </w:r>
    </w:p>
    <w:p w:rsidR="00AD697A" w:rsidRDefault="00AD697A">
      <w:r>
        <w:t>Typologie des logements :</w:t>
      </w:r>
      <w:r w:rsidR="00C651B4">
        <w:t xml:space="preserve"> du T1 au T5</w:t>
      </w:r>
    </w:p>
    <w:p w:rsidR="00AD697A" w:rsidRDefault="00AD697A"/>
    <w:p w:rsidR="00AD697A" w:rsidRDefault="00AD697A" w:rsidP="00C651B4">
      <w:pPr>
        <w:jc w:val="both"/>
        <w:rPr>
          <w:b/>
        </w:rPr>
      </w:pPr>
      <w:r>
        <w:t xml:space="preserve">Modalités de réservation et d’attribution des logements : </w:t>
      </w:r>
      <w:r w:rsidR="00C651B4">
        <w:rPr>
          <w:i/>
        </w:rPr>
        <w:t>Décision d'attribution soumise à l'approbation de la CAL</w:t>
      </w:r>
    </w:p>
    <w:p w:rsidR="00AD697A" w:rsidRDefault="00AD697A">
      <w:pPr>
        <w:shd w:val="clear" w:color="auto" w:fill="F3F3F3"/>
        <w:jc w:val="both"/>
      </w:pPr>
      <w:r>
        <w:rPr>
          <w:b/>
        </w:rPr>
        <w:t>Localisation de l’offre de logements accompagnés :</w:t>
      </w:r>
      <w:r>
        <w:rPr>
          <w:b/>
          <w:i/>
          <w:color w:val="0000FF"/>
        </w:rPr>
        <w:t xml:space="preserve"> </w:t>
      </w:r>
      <w:r w:rsidR="008A226C">
        <w:rPr>
          <w:i/>
        </w:rPr>
        <w:t>Ensemble du pa</w:t>
      </w:r>
      <w:r w:rsidR="00C651B4">
        <w:rPr>
          <w:i/>
        </w:rPr>
        <w:t>trimoine de Caen habitat situé sur le territoire de la ville de Caen</w:t>
      </w:r>
    </w:p>
    <w:p w:rsidR="00AD697A" w:rsidRDefault="00AD697A"/>
    <w:p w:rsidR="00AD697A" w:rsidRDefault="00AD697A"/>
    <w:p w:rsidR="00AD697A" w:rsidRDefault="00AD697A">
      <w:pPr>
        <w:pBdr>
          <w:top w:val="single" w:sz="4" w:space="1" w:color="000000"/>
          <w:left w:val="single" w:sz="4" w:space="4" w:color="000000"/>
          <w:bottom w:val="single" w:sz="4" w:space="1" w:color="000000"/>
          <w:right w:val="single" w:sz="4" w:space="4" w:color="000000"/>
        </w:pBdr>
        <w:jc w:val="center"/>
      </w:pPr>
      <w:r>
        <w:rPr>
          <w:b/>
        </w:rPr>
        <w:t>Accompagnement</w:t>
      </w:r>
    </w:p>
    <w:p w:rsidR="00AD697A" w:rsidRDefault="00AD697A">
      <w:pPr>
        <w:jc w:val="both"/>
      </w:pPr>
      <w:r>
        <w:t>Méthodologie de réalisation de l'accompagnement (étendue de l'accompagnement et objectifs visés, méthodes - l’aller vers, autres…-, durée et adaptabilité)</w:t>
      </w:r>
      <w:r>
        <w:rPr>
          <w:i/>
        </w:rPr>
        <w:t xml:space="preserve"> : </w:t>
      </w:r>
      <w:r w:rsidR="00C651B4">
        <w:rPr>
          <w:i/>
        </w:rPr>
        <w:t xml:space="preserve">Les modalités de l'accompagnement mis en œuvre seront déterminées finement à partir du diagnostic réalisé. </w:t>
      </w:r>
      <w:r w:rsidR="008A226C">
        <w:rPr>
          <w:i/>
        </w:rPr>
        <w:t xml:space="preserve">Il sera de durée et d'intensité variable, sans toutefois pouvoir durer plus de 12 mois, sauf cas exceptionnel. Suivant les situations, l'accompagnement sera axé sur un ou plusieurs des axes </w:t>
      </w:r>
      <w:r w:rsidR="008A226C">
        <w:rPr>
          <w:i/>
        </w:rPr>
        <w:lastRenderedPageBreak/>
        <w:t>suivants : insertion sociale et professionnelle, gestion budgétaire, parcours locatif, utilisation du logement etc.</w:t>
      </w:r>
    </w:p>
    <w:p w:rsidR="00AD697A" w:rsidRDefault="00AD697A">
      <w:pPr>
        <w:jc w:val="both"/>
      </w:pPr>
    </w:p>
    <w:p w:rsidR="008A226C" w:rsidRDefault="00AD697A">
      <w:pPr>
        <w:jc w:val="both"/>
        <w:rPr>
          <w:i/>
        </w:rPr>
      </w:pPr>
      <w:r>
        <w:t xml:space="preserve">Complémentarité avec la gestion locative (type de gestion locative : classique ou adaptée) : </w:t>
      </w:r>
      <w:r w:rsidR="008A226C">
        <w:rPr>
          <w:i/>
        </w:rPr>
        <w:t>les modalités d'intermédiation sera adaptées aux situations rencontrées :</w:t>
      </w:r>
    </w:p>
    <w:p w:rsidR="008A226C" w:rsidRPr="008A226C" w:rsidRDefault="008A226C" w:rsidP="008A226C">
      <w:pPr>
        <w:pStyle w:val="Paragraphedeliste"/>
        <w:numPr>
          <w:ilvl w:val="0"/>
          <w:numId w:val="2"/>
        </w:numPr>
        <w:ind w:left="567" w:hanging="207"/>
        <w:jc w:val="both"/>
        <w:rPr>
          <w:i/>
        </w:rPr>
      </w:pPr>
      <w:r w:rsidRPr="008A226C">
        <w:rPr>
          <w:i/>
        </w:rPr>
        <w:t>accè</w:t>
      </w:r>
      <w:r>
        <w:rPr>
          <w:i/>
        </w:rPr>
        <w:t>s direct accompagné par le CCAS</w:t>
      </w:r>
    </w:p>
    <w:p w:rsidR="00AD697A" w:rsidRPr="008A226C" w:rsidRDefault="008A226C" w:rsidP="008A226C">
      <w:pPr>
        <w:pStyle w:val="Paragraphedeliste"/>
        <w:numPr>
          <w:ilvl w:val="0"/>
          <w:numId w:val="2"/>
        </w:numPr>
        <w:ind w:left="567" w:hanging="207"/>
        <w:jc w:val="both"/>
      </w:pPr>
      <w:r w:rsidRPr="008A226C">
        <w:rPr>
          <w:i/>
        </w:rPr>
        <w:t>relogement temporaire préala</w:t>
      </w:r>
      <w:r>
        <w:rPr>
          <w:i/>
        </w:rPr>
        <w:t>ble en résidence sociale accompagné par le CCAS</w:t>
      </w:r>
    </w:p>
    <w:p w:rsidR="008A226C" w:rsidRPr="002B4DF8" w:rsidRDefault="008A226C" w:rsidP="008A226C">
      <w:pPr>
        <w:pStyle w:val="Paragraphedeliste"/>
        <w:numPr>
          <w:ilvl w:val="0"/>
          <w:numId w:val="2"/>
        </w:numPr>
        <w:ind w:left="567" w:hanging="207"/>
        <w:jc w:val="both"/>
      </w:pPr>
      <w:r>
        <w:rPr>
          <w:i/>
        </w:rPr>
        <w:t xml:space="preserve">bail glissant </w:t>
      </w:r>
      <w:r w:rsidR="002B4DF8">
        <w:rPr>
          <w:i/>
        </w:rPr>
        <w:t>dans le parc de logements d'insertion du CCAS</w:t>
      </w:r>
    </w:p>
    <w:p w:rsidR="002B4DF8" w:rsidRDefault="002B4DF8" w:rsidP="008A226C">
      <w:pPr>
        <w:pStyle w:val="Paragraphedeliste"/>
        <w:numPr>
          <w:ilvl w:val="0"/>
          <w:numId w:val="2"/>
        </w:numPr>
        <w:ind w:left="567" w:hanging="207"/>
        <w:jc w:val="both"/>
      </w:pPr>
      <w:r>
        <w:rPr>
          <w:i/>
        </w:rPr>
        <w:t>sous-location préalable via le CCAS</w:t>
      </w:r>
    </w:p>
    <w:p w:rsidR="00AD697A" w:rsidRDefault="00AD697A">
      <w:pPr>
        <w:jc w:val="both"/>
      </w:pPr>
    </w:p>
    <w:p w:rsidR="00AD697A" w:rsidRDefault="00AD697A">
      <w:pPr>
        <w:jc w:val="both"/>
      </w:pPr>
      <w:r>
        <w:t xml:space="preserve">Démarche mise en place pour favoriser l’adhésion du ménage : </w:t>
      </w:r>
      <w:r w:rsidR="002B4DF8" w:rsidRPr="002B4DF8">
        <w:rPr>
          <w:i/>
        </w:rPr>
        <w:t>le</w:t>
      </w:r>
      <w:r w:rsidR="002B4DF8">
        <w:rPr>
          <w:i/>
        </w:rPr>
        <w:t xml:space="preserve"> ménage sera associé à la définition des </w:t>
      </w:r>
      <w:r w:rsidR="002B4DF8" w:rsidRPr="002B4DF8">
        <w:rPr>
          <w:i/>
        </w:rPr>
        <w:t>objectifs poursuivis</w:t>
      </w:r>
      <w:r w:rsidR="002B4DF8">
        <w:t xml:space="preserve"> </w:t>
      </w:r>
      <w:r w:rsidR="002B4DF8">
        <w:rPr>
          <w:i/>
        </w:rPr>
        <w:t>dans le cadre de la mesure d'accompagnement</w:t>
      </w:r>
      <w:r w:rsidR="002B4DF8" w:rsidRPr="002B4DF8">
        <w:rPr>
          <w:i/>
        </w:rPr>
        <w:t xml:space="preserve"> </w:t>
      </w:r>
      <w:r w:rsidR="002B4DF8">
        <w:rPr>
          <w:i/>
        </w:rPr>
        <w:t xml:space="preserve">et son </w:t>
      </w:r>
      <w:r w:rsidR="002B4DF8" w:rsidRPr="002B4DF8">
        <w:rPr>
          <w:i/>
        </w:rPr>
        <w:t>adhésion</w:t>
      </w:r>
      <w:r w:rsidR="002B4DF8">
        <w:rPr>
          <w:i/>
        </w:rPr>
        <w:t xml:space="preserve"> sera matérialisée dans une convention tripartite de suivi social (ménage/bailleur/CCAS)</w:t>
      </w:r>
    </w:p>
    <w:p w:rsidR="00AD697A" w:rsidRDefault="00AD697A">
      <w:pPr>
        <w:jc w:val="both"/>
      </w:pPr>
    </w:p>
    <w:p w:rsidR="00AD697A" w:rsidRDefault="00AD697A">
      <w:pPr>
        <w:jc w:val="both"/>
      </w:pPr>
      <w:r>
        <w:t xml:space="preserve">Modalités de mobilisation de l’offre d’accompagnement existante ou nouvelle : </w:t>
      </w:r>
      <w:r w:rsidR="00EF0AA3">
        <w:rPr>
          <w:i/>
        </w:rPr>
        <w:t>Caen habitat est à l'origine de la sélection des ménages  bénéficiaires de l'action</w:t>
      </w:r>
      <w:r w:rsidR="006C6B46">
        <w:rPr>
          <w:i/>
        </w:rPr>
        <w:t>, qui seront accompagnés par le CCAS.</w:t>
      </w:r>
    </w:p>
    <w:p w:rsidR="00AD697A" w:rsidRDefault="00AD697A">
      <w:pPr>
        <w:jc w:val="both"/>
      </w:pPr>
    </w:p>
    <w:p w:rsidR="00AD697A" w:rsidRDefault="00AD697A">
      <w:pPr>
        <w:jc w:val="both"/>
      </w:pPr>
      <w:r>
        <w:t xml:space="preserve">Structuration de la relation bailleur/accompagnateur : </w:t>
      </w:r>
      <w:r w:rsidR="00EF0AA3">
        <w:rPr>
          <w:i/>
          <w:iCs/>
        </w:rPr>
        <w:t>les partenaires se retrouveront périodiquement au sein d'une cellule de coordination qui présélectionne les ménages, détermine les modalités d'élaboration des diagnostics et par conséquent des accompagnements, prend connaissance des bilans des accompagnements.</w:t>
      </w:r>
    </w:p>
    <w:p w:rsidR="00AD697A" w:rsidRDefault="00AD697A">
      <w:pPr>
        <w:jc w:val="both"/>
      </w:pPr>
    </w:p>
    <w:p w:rsidR="00AD697A" w:rsidRDefault="00AD697A">
      <w:pPr>
        <w:shd w:val="clear" w:color="auto" w:fill="F3F3F3"/>
        <w:ind w:right="-288"/>
      </w:pPr>
      <w:r>
        <w:rPr>
          <w:b/>
        </w:rPr>
        <w:t>Adéquation du projet aux besoins spécifiques des publics ciblés par le projet </w:t>
      </w:r>
      <w:r>
        <w:rPr>
          <w:b/>
          <w:i/>
          <w:color w:val="0000FF"/>
        </w:rPr>
        <w:t xml:space="preserve">: </w:t>
      </w:r>
      <w:r w:rsidR="006C6B46">
        <w:rPr>
          <w:i/>
        </w:rPr>
        <w:t>les publics ciblés dans le projet ont été déterminés</w:t>
      </w:r>
      <w:r w:rsidR="002F5924">
        <w:rPr>
          <w:i/>
        </w:rPr>
        <w:t xml:space="preserve"> dans le cadre d'un dialogue étroit avec la DDCS.</w:t>
      </w:r>
    </w:p>
    <w:p w:rsidR="00DD7934" w:rsidRDefault="00DD7934">
      <w:pPr>
        <w:jc w:val="both"/>
      </w:pPr>
    </w:p>
    <w:p w:rsidR="00DD7934" w:rsidRDefault="00DD7934">
      <w:pPr>
        <w:jc w:val="both"/>
      </w:pPr>
    </w:p>
    <w:p w:rsidR="00AD697A" w:rsidRDefault="00AD697A">
      <w:pPr>
        <w:pBdr>
          <w:top w:val="single" w:sz="4" w:space="1" w:color="000000"/>
          <w:left w:val="single" w:sz="4" w:space="4" w:color="000000"/>
          <w:bottom w:val="single" w:sz="4" w:space="1" w:color="000000"/>
          <w:right w:val="single" w:sz="4" w:space="4" w:color="000000"/>
        </w:pBdr>
        <w:jc w:val="center"/>
        <w:rPr>
          <w:b/>
          <w:bCs/>
        </w:rPr>
      </w:pPr>
      <w:r>
        <w:rPr>
          <w:b/>
        </w:rPr>
        <w:t>Partenariat</w:t>
      </w:r>
    </w:p>
    <w:p w:rsidR="00AD697A" w:rsidRDefault="00AD697A">
      <w:pPr>
        <w:jc w:val="both"/>
      </w:pPr>
      <w:r>
        <w:rPr>
          <w:b/>
          <w:bCs/>
        </w:rPr>
        <w:t>Partenaires mobilisés - exemples : collectivités territoriales, SIAO, associations, coordination entre les organismes, … :</w:t>
      </w:r>
      <w:r>
        <w:t xml:space="preserve"> </w:t>
      </w:r>
      <w:r w:rsidR="002F5924">
        <w:rPr>
          <w:i/>
          <w:iCs/>
        </w:rPr>
        <w:t xml:space="preserve">Le projet distingue les partenaires opérationnels, qui interviennent dans le processus d'identification de la demande, </w:t>
      </w:r>
      <w:r w:rsidR="00227603">
        <w:rPr>
          <w:i/>
          <w:iCs/>
        </w:rPr>
        <w:t>de mobilisation de l'offre et de l'accompagnement social, et les partenaires financiers.</w:t>
      </w:r>
    </w:p>
    <w:p w:rsidR="00AD697A" w:rsidRDefault="00AD697A"/>
    <w:p w:rsidR="00AD697A" w:rsidRDefault="00AD697A">
      <w:pPr>
        <w:jc w:val="both"/>
      </w:pPr>
      <w:r>
        <w:rPr>
          <w:b/>
          <w:shd w:val="clear" w:color="auto" w:fill="F3F3F3"/>
        </w:rPr>
        <w:t>Montage financier (solidité financière du plan de financement et d’exploitation du projet, optimisation des coûts) :</w:t>
      </w:r>
      <w:r>
        <w:rPr>
          <w:b/>
          <w:i/>
          <w:color w:val="0000FF"/>
          <w:shd w:val="clear" w:color="auto" w:fill="F3F3F3"/>
        </w:rPr>
        <w:t xml:space="preserve"> </w:t>
      </w:r>
      <w:r>
        <w:rPr>
          <w:b/>
          <w:i/>
          <w:color w:val="0000FF"/>
          <w:shd w:val="clear" w:color="auto" w:fill="F3F3F3"/>
        </w:rPr>
        <w:tab/>
      </w:r>
      <w:r>
        <w:rPr>
          <w:b/>
          <w:i/>
          <w:color w:val="0000FF"/>
          <w:shd w:val="clear" w:color="auto" w:fill="F3F3F3"/>
        </w:rPr>
        <w:tab/>
      </w:r>
      <w:r>
        <w:rPr>
          <w:b/>
          <w:i/>
          <w:color w:val="0000FF"/>
          <w:shd w:val="clear" w:color="auto" w:fill="F3F3F3"/>
        </w:rPr>
        <w:tab/>
      </w:r>
      <w:r>
        <w:rPr>
          <w:b/>
          <w:i/>
          <w:color w:val="0000FF"/>
          <w:shd w:val="clear" w:color="auto" w:fill="F3F3F3"/>
        </w:rPr>
        <w:tab/>
        <w:t xml:space="preserve">      </w:t>
      </w:r>
    </w:p>
    <w:p w:rsidR="00AD697A" w:rsidRDefault="00AD697A"/>
    <w:p w:rsidR="00AD697A" w:rsidRDefault="00AD697A">
      <w:pPr>
        <w:jc w:val="both"/>
      </w:pPr>
      <w:r>
        <w:t xml:space="preserve">Coût du diagnostic de la situation des ménages par rapport au logement : </w:t>
      </w:r>
      <w:r w:rsidR="00227603">
        <w:rPr>
          <w:i/>
        </w:rPr>
        <w:t>50 € par ménage</w:t>
      </w:r>
    </w:p>
    <w:p w:rsidR="00AD697A" w:rsidRDefault="00AD697A">
      <w:r>
        <w:t xml:space="preserve">Coût de l’accompagnement par ménage : </w:t>
      </w:r>
      <w:r w:rsidR="00227603">
        <w:rPr>
          <w:i/>
        </w:rPr>
        <w:t>1 250 € par an</w:t>
      </w:r>
    </w:p>
    <w:p w:rsidR="00AD697A" w:rsidRDefault="00AD697A">
      <w:pPr>
        <w:jc w:val="both"/>
      </w:pPr>
      <w:r>
        <w:t xml:space="preserve">Coût interne ou externe de la gestion locative adaptée </w:t>
      </w:r>
      <w:r>
        <w:rPr>
          <w:u w:val="single"/>
        </w:rPr>
        <w:t>par logement</w:t>
      </w:r>
      <w:r>
        <w:t xml:space="preserve"> : </w:t>
      </w:r>
      <w:r w:rsidR="00227603">
        <w:rPr>
          <w:i/>
        </w:rPr>
        <w:t>850 € par an</w:t>
      </w:r>
    </w:p>
    <w:p w:rsidR="00AD697A" w:rsidRDefault="00AD697A">
      <w:pPr>
        <w:jc w:val="both"/>
      </w:pPr>
      <w:r>
        <w:t xml:space="preserve">Coût global en cas d’offre intégrée gestion locative adaptée + l’accompagnement  </w:t>
      </w:r>
      <w:r>
        <w:rPr>
          <w:u w:val="single"/>
        </w:rPr>
        <w:t>par</w:t>
      </w:r>
      <w:r>
        <w:t xml:space="preserve"> </w:t>
      </w:r>
      <w:r>
        <w:rPr>
          <w:u w:val="single"/>
        </w:rPr>
        <w:t>ménage</w:t>
      </w:r>
      <w:r>
        <w:t xml:space="preserve">: </w:t>
      </w:r>
      <w:r w:rsidR="00227603">
        <w:rPr>
          <w:i/>
        </w:rPr>
        <w:t>2 175 € par an</w:t>
      </w:r>
    </w:p>
    <w:p w:rsidR="00AD697A" w:rsidRDefault="00AD697A">
      <w:pPr>
        <w:jc w:val="both"/>
      </w:pPr>
    </w:p>
    <w:p w:rsidR="00AD697A" w:rsidRDefault="00AD697A">
      <w:pPr>
        <w:jc w:val="both"/>
      </w:pPr>
      <w:r>
        <w:t xml:space="preserve">Cofinancements apportés (apports du CG, des collectivités territoriales, EPCI et Etat) : </w:t>
      </w:r>
      <w:r w:rsidR="00227603">
        <w:rPr>
          <w:i/>
        </w:rPr>
        <w:t xml:space="preserve">l'Etat est sollicité pour financer </w:t>
      </w:r>
      <w:r w:rsidR="00C64271">
        <w:rPr>
          <w:i/>
        </w:rPr>
        <w:t>la gestion locative adaptée lorsque l'accès au logement est direct (71% du financement global). Le Conseil Général finance la gestion locative adaptée conditionnelle (bail glissant et sous-location le cas échéant) soit 15%, le bailleur participe aux frais de structure soit 5% du financement, la Ville de Caen à travers sa subvention d'équilibre au CCAS à hauteur de 9%.</w:t>
      </w:r>
    </w:p>
    <w:p w:rsidR="00AD697A" w:rsidRDefault="00AD697A"/>
    <w:p w:rsidR="00AD697A" w:rsidRDefault="00AD697A">
      <w:r>
        <w:lastRenderedPageBreak/>
        <w:t xml:space="preserve">En cas de création d’offre nouvelle, projet bénéficiant d’un  financement à l’investissement du FNDOLLTS </w:t>
      </w:r>
      <w:r>
        <w:tab/>
        <w:t xml:space="preserve">oui </w:t>
      </w:r>
      <w:bookmarkStart w:id="7" w:name="__Fieldmark__52118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7"/>
      <w:r>
        <w:tab/>
        <w:t>non</w:t>
      </w:r>
      <w:r w:rsidR="00C64271">
        <w:fldChar w:fldCharType="begin">
          <w:ffData>
            <w:name w:val=""/>
            <w:enabled/>
            <w:calcOnExit w:val="0"/>
            <w:checkBox>
              <w:size w:val="24"/>
              <w:default w:val="1"/>
            </w:checkBox>
          </w:ffData>
        </w:fldChar>
      </w:r>
      <w:r w:rsidR="00C64271">
        <w:instrText xml:space="preserve"> FORMCHECKBOX </w:instrText>
      </w:r>
      <w:r w:rsidR="001265EA">
        <w:fldChar w:fldCharType="separate"/>
      </w:r>
      <w:r w:rsidR="00C64271">
        <w:fldChar w:fldCharType="end"/>
      </w:r>
      <w:r>
        <w:t xml:space="preserve"> ou en ayant candidaté à un appel à projets en cours oui </w:t>
      </w:r>
      <w:r w:rsidR="00C64271">
        <w:fldChar w:fldCharType="begin">
          <w:ffData>
            <w:name w:val=""/>
            <w:enabled/>
            <w:calcOnExit w:val="0"/>
            <w:checkBox>
              <w:size w:val="24"/>
              <w:default w:val="1"/>
            </w:checkBox>
          </w:ffData>
        </w:fldChar>
      </w:r>
      <w:r w:rsidR="00C64271">
        <w:instrText xml:space="preserve"> FORMCHECKBOX </w:instrText>
      </w:r>
      <w:r w:rsidR="001265EA">
        <w:fldChar w:fldCharType="separate"/>
      </w:r>
      <w:r w:rsidR="00C64271">
        <w:fldChar w:fldCharType="end"/>
      </w:r>
      <w:r>
        <w:tab/>
        <w:t>non</w:t>
      </w:r>
      <w:bookmarkStart w:id="8" w:name="__Fieldmark__52121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8"/>
    </w:p>
    <w:p w:rsidR="00AD697A" w:rsidRDefault="00AD697A">
      <w:pPr>
        <w:jc w:val="both"/>
      </w:pPr>
    </w:p>
    <w:p w:rsidR="00AD697A" w:rsidRDefault="00AD697A">
      <w:pPr>
        <w:jc w:val="both"/>
      </w:pPr>
      <w:r>
        <w:rPr>
          <w:i/>
        </w:rPr>
        <w:t>champ libre</w:t>
      </w:r>
    </w:p>
    <w:p w:rsidR="00AD697A" w:rsidRDefault="00AD697A">
      <w:pPr>
        <w:jc w:val="both"/>
      </w:pPr>
    </w:p>
    <w:p w:rsidR="00AD697A" w:rsidRDefault="00AD697A">
      <w:r>
        <w:rPr>
          <w:b/>
          <w:shd w:val="clear" w:color="auto" w:fill="F3F3F3"/>
        </w:rPr>
        <w:t xml:space="preserve">Inscription de la démarche dans la durée </w:t>
      </w:r>
      <w:r>
        <w:rPr>
          <w:b/>
          <w:shd w:val="clear" w:color="auto" w:fill="F3F3F3"/>
        </w:rPr>
        <w:tab/>
      </w:r>
      <w:r>
        <w:rPr>
          <w:b/>
          <w:shd w:val="clear" w:color="auto" w:fill="F3F3F3"/>
        </w:rPr>
        <w:tab/>
      </w:r>
      <w:r>
        <w:rPr>
          <w:b/>
          <w:shd w:val="clear" w:color="auto" w:fill="F3F3F3"/>
        </w:rPr>
        <w:tab/>
      </w:r>
      <w:r>
        <w:rPr>
          <w:b/>
          <w:shd w:val="clear" w:color="auto" w:fill="F3F3F3"/>
        </w:rPr>
        <w:tab/>
      </w:r>
      <w:r>
        <w:rPr>
          <w:b/>
          <w:shd w:val="clear" w:color="auto" w:fill="F3F3F3"/>
        </w:rPr>
        <w:tab/>
      </w:r>
      <w:r>
        <w:rPr>
          <w:b/>
          <w:shd w:val="clear" w:color="auto" w:fill="F3F3F3"/>
        </w:rPr>
        <w:tab/>
      </w:r>
    </w:p>
    <w:p w:rsidR="00AD697A" w:rsidRDefault="00AD697A">
      <w:r>
        <w:t xml:space="preserve">Les engagements pris par les porteurs du projet portent sur une durée de : </w:t>
      </w:r>
      <w:r w:rsidR="00C23CBA">
        <w:rPr>
          <w:i/>
        </w:rPr>
        <w:t>3 années</w:t>
      </w:r>
    </w:p>
    <w:p w:rsidR="00AD697A" w:rsidRDefault="00AD697A">
      <w:pPr>
        <w:jc w:val="both"/>
      </w:pPr>
    </w:p>
    <w:p w:rsidR="000C3668" w:rsidRDefault="000C3668">
      <w:pPr>
        <w:jc w:val="both"/>
      </w:pPr>
    </w:p>
    <w:p w:rsidR="00DD7934" w:rsidRDefault="00DD7934">
      <w:pPr>
        <w:jc w:val="both"/>
      </w:pPr>
    </w:p>
    <w:p w:rsidR="00AD697A" w:rsidRDefault="00AD697A">
      <w:pPr>
        <w:jc w:val="both"/>
        <w:rPr>
          <w:sz w:val="12"/>
          <w:szCs w:val="12"/>
        </w:rPr>
      </w:pPr>
    </w:p>
    <w:p w:rsidR="00AD697A" w:rsidRDefault="00AD697A">
      <w:pPr>
        <w:pBdr>
          <w:top w:val="single" w:sz="1" w:space="1" w:color="000000"/>
          <w:left w:val="single" w:sz="1" w:space="1" w:color="000000"/>
          <w:bottom w:val="single" w:sz="1" w:space="1" w:color="000000"/>
          <w:right w:val="single" w:sz="1" w:space="1" w:color="000000"/>
        </w:pBdr>
        <w:jc w:val="both"/>
      </w:pPr>
      <w:r>
        <w:rPr>
          <w:b/>
        </w:rPr>
        <w:t>Avis du service départemental en charge des politiques sociales du logement (DDCS ou DDT) :</w:t>
      </w:r>
    </w:p>
    <w:p w:rsidR="00AD697A" w:rsidRDefault="00AD697A">
      <w:pPr>
        <w:pBdr>
          <w:top w:val="single" w:sz="1" w:space="1" w:color="000000"/>
          <w:left w:val="single" w:sz="1" w:space="1" w:color="000000"/>
          <w:bottom w:val="single" w:sz="1" w:space="1" w:color="000000"/>
          <w:right w:val="single" w:sz="1" w:space="1" w:color="000000"/>
        </w:pBdr>
        <w:jc w:val="both"/>
      </w:pPr>
    </w:p>
    <w:p w:rsidR="00AD697A" w:rsidRDefault="00AD697A">
      <w:pPr>
        <w:pBdr>
          <w:top w:val="single" w:sz="1" w:space="1" w:color="000000"/>
          <w:left w:val="single" w:sz="1" w:space="1" w:color="000000"/>
          <w:bottom w:val="single" w:sz="1" w:space="1" w:color="000000"/>
          <w:right w:val="single" w:sz="1" w:space="1" w:color="000000"/>
        </w:pBdr>
        <w:jc w:val="both"/>
      </w:pPr>
      <w:r>
        <w:rPr>
          <w:i/>
        </w:rPr>
        <w:t>champ libre</w:t>
      </w:r>
    </w:p>
    <w:p w:rsidR="00AD697A" w:rsidRDefault="00AD697A">
      <w:pPr>
        <w:pBdr>
          <w:top w:val="single" w:sz="1" w:space="1" w:color="000000"/>
          <w:left w:val="single" w:sz="1" w:space="1" w:color="000000"/>
          <w:bottom w:val="single" w:sz="1" w:space="1" w:color="000000"/>
          <w:right w:val="single" w:sz="1" w:space="1" w:color="000000"/>
        </w:pBdr>
        <w:jc w:val="both"/>
      </w:pPr>
    </w:p>
    <w:p w:rsidR="00AD697A" w:rsidRDefault="00AD697A">
      <w:pPr>
        <w:pBdr>
          <w:top w:val="single" w:sz="1" w:space="1" w:color="000000"/>
          <w:left w:val="single" w:sz="1" w:space="1" w:color="000000"/>
          <w:bottom w:val="single" w:sz="1" w:space="1" w:color="000000"/>
          <w:right w:val="single" w:sz="1" w:space="1" w:color="000000"/>
        </w:pBdr>
        <w:jc w:val="both"/>
      </w:pPr>
    </w:p>
    <w:p w:rsidR="00AD697A" w:rsidRDefault="00AD697A">
      <w:pPr>
        <w:pBdr>
          <w:top w:val="single" w:sz="1" w:space="1" w:color="000000"/>
          <w:left w:val="single" w:sz="1" w:space="1" w:color="000000"/>
          <w:bottom w:val="single" w:sz="1" w:space="1" w:color="000000"/>
          <w:right w:val="single" w:sz="1" w:space="1" w:color="000000"/>
        </w:pBdr>
      </w:pPr>
      <w:r>
        <w:rPr>
          <w:b/>
          <w:shd w:val="clear" w:color="auto" w:fill="F3F3F3"/>
        </w:rPr>
        <w:t>Pertinence du projet au regard des objectifs visés par l’appel à projets :</w:t>
      </w:r>
      <w:r>
        <w:rPr>
          <w:i/>
        </w:rPr>
        <w:t xml:space="preserve"> champ libre</w:t>
      </w: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Pr>
        <w:pBdr>
          <w:top w:val="single" w:sz="1" w:space="1" w:color="000000"/>
          <w:left w:val="single" w:sz="1" w:space="1" w:color="000000"/>
          <w:bottom w:val="single" w:sz="1" w:space="1" w:color="000000"/>
          <w:right w:val="single" w:sz="1" w:space="1" w:color="000000"/>
        </w:pBdr>
      </w:pPr>
      <w:r>
        <w:rPr>
          <w:b/>
          <w:shd w:val="clear" w:color="auto" w:fill="F3F3F3"/>
        </w:rPr>
        <w:t xml:space="preserve">Caractère reproductible de la démarche : Faible  </w:t>
      </w:r>
      <w:bookmarkStart w:id="9" w:name="__Fieldmark__52125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9"/>
      <w:r>
        <w:rPr>
          <w:b/>
          <w:shd w:val="clear" w:color="auto" w:fill="F3F3F3"/>
        </w:rPr>
        <w:t xml:space="preserve">   Moyen   </w:t>
      </w:r>
      <w:bookmarkStart w:id="10" w:name="__Fieldmark__52126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10"/>
      <w:r>
        <w:rPr>
          <w:b/>
          <w:shd w:val="clear" w:color="auto" w:fill="F3F3F3"/>
        </w:rPr>
        <w:t xml:space="preserve">   Fort </w:t>
      </w:r>
      <w:bookmarkStart w:id="11" w:name="__Fieldmark__52127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11"/>
      <w:r>
        <w:rPr>
          <w:b/>
          <w:shd w:val="clear" w:color="auto" w:fill="F3F3F3"/>
        </w:rPr>
        <w:tab/>
      </w:r>
      <w:r>
        <w:rPr>
          <w:b/>
          <w:shd w:val="clear" w:color="auto" w:fill="F3F3F3"/>
        </w:rPr>
        <w:tab/>
      </w:r>
      <w:r>
        <w:rPr>
          <w:b/>
          <w:shd w:val="clear" w:color="auto" w:fill="F3F3F3"/>
        </w:rPr>
        <w:tab/>
      </w:r>
    </w:p>
    <w:p w:rsidR="00AD697A" w:rsidRDefault="00AD697A">
      <w:pPr>
        <w:pBdr>
          <w:top w:val="single" w:sz="1" w:space="1" w:color="000000"/>
          <w:left w:val="single" w:sz="1" w:space="1" w:color="000000"/>
          <w:bottom w:val="single" w:sz="1" w:space="1" w:color="000000"/>
          <w:right w:val="single" w:sz="1" w:space="1" w:color="000000"/>
        </w:pBdr>
        <w:jc w:val="both"/>
      </w:pPr>
      <w:r>
        <w:t xml:space="preserve">Conditions jugées nécessaires : </w:t>
      </w:r>
      <w:r>
        <w:rPr>
          <w:i/>
        </w:rPr>
        <w:t>champ libre</w:t>
      </w: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 w:rsidR="00AD697A" w:rsidRDefault="00AD697A"/>
    <w:p w:rsidR="000C3668" w:rsidRDefault="000C3668"/>
    <w:p w:rsidR="000C3668" w:rsidRDefault="000C3668"/>
    <w:p w:rsidR="000C3668" w:rsidRDefault="000C3668"/>
    <w:p w:rsidR="000C3668" w:rsidRDefault="000C3668"/>
    <w:tbl>
      <w:tblPr>
        <w:tblW w:w="0" w:type="auto"/>
        <w:tblInd w:w="-90" w:type="dxa"/>
        <w:tblLayout w:type="fixed"/>
        <w:tblLook w:val="0000" w:firstRow="0" w:lastRow="0" w:firstColumn="0" w:lastColumn="0" w:noHBand="0" w:noVBand="0"/>
      </w:tblPr>
      <w:tblGrid>
        <w:gridCol w:w="4654"/>
        <w:gridCol w:w="2410"/>
        <w:gridCol w:w="2328"/>
      </w:tblGrid>
      <w:tr w:rsidR="00AD697A">
        <w:tc>
          <w:tcPr>
            <w:tcW w:w="4654" w:type="dxa"/>
            <w:tcBorders>
              <w:top w:val="single" w:sz="4" w:space="0" w:color="000000"/>
              <w:left w:val="single" w:sz="4" w:space="0" w:color="000000"/>
            </w:tcBorders>
            <w:shd w:val="clear" w:color="auto" w:fill="auto"/>
          </w:tcPr>
          <w:p w:rsidR="00AD697A" w:rsidRDefault="00AD697A">
            <w:pPr>
              <w:rPr>
                <w:b/>
              </w:rPr>
            </w:pPr>
            <w:r>
              <w:rPr>
                <w:b/>
              </w:rPr>
              <w:t>Avis global formulé par le niveau régional (DREAL en collaboration avec DRJSCS) :</w:t>
            </w:r>
          </w:p>
        </w:tc>
        <w:tc>
          <w:tcPr>
            <w:tcW w:w="2410" w:type="dxa"/>
            <w:tcBorders>
              <w:top w:val="single" w:sz="4" w:space="0" w:color="000000"/>
            </w:tcBorders>
            <w:shd w:val="clear" w:color="auto" w:fill="auto"/>
          </w:tcPr>
          <w:p w:rsidR="00AD697A" w:rsidRDefault="00AD697A">
            <w:pPr>
              <w:rPr>
                <w:b/>
              </w:rPr>
            </w:pPr>
            <w:r>
              <w:rPr>
                <w:b/>
              </w:rPr>
              <w:t xml:space="preserve">Favorable </w:t>
            </w:r>
            <w:r>
              <w:rPr>
                <w:b/>
              </w:rPr>
              <w:tab/>
            </w:r>
            <w:bookmarkStart w:id="12" w:name="__Fieldmark__52128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12"/>
          </w:p>
        </w:tc>
        <w:tc>
          <w:tcPr>
            <w:tcW w:w="2328" w:type="dxa"/>
            <w:tcBorders>
              <w:top w:val="single" w:sz="4" w:space="0" w:color="000000"/>
              <w:right w:val="single" w:sz="4" w:space="0" w:color="000000"/>
            </w:tcBorders>
            <w:shd w:val="clear" w:color="auto" w:fill="auto"/>
          </w:tcPr>
          <w:p w:rsidR="00AD697A" w:rsidRDefault="00AD697A">
            <w:r>
              <w:rPr>
                <w:b/>
              </w:rPr>
              <w:t>Défavorable</w:t>
            </w:r>
            <w:r>
              <w:rPr>
                <w:b/>
              </w:rPr>
              <w:tab/>
            </w:r>
            <w:bookmarkStart w:id="13" w:name="__Fieldmark__52129_1547060978"/>
            <w:r>
              <w:fldChar w:fldCharType="begin">
                <w:ffData>
                  <w:name w:val=""/>
                  <w:enabled/>
                  <w:calcOnExit w:val="0"/>
                  <w:checkBox>
                    <w:sizeAuto/>
                    <w:default w:val="0"/>
                    <w:checked w:val="0"/>
                  </w:checkBox>
                </w:ffData>
              </w:fldChar>
            </w:r>
            <w:r>
              <w:instrText xml:space="preserve"> FORMCHECKBOX </w:instrText>
            </w:r>
            <w:r w:rsidR="001265EA">
              <w:fldChar w:fldCharType="separate"/>
            </w:r>
            <w:r>
              <w:fldChar w:fldCharType="end"/>
            </w:r>
            <w:bookmarkEnd w:id="13"/>
          </w:p>
        </w:tc>
      </w:tr>
      <w:tr w:rsidR="00AD697A" w:rsidTr="00DD7934">
        <w:trPr>
          <w:trHeight w:val="3173"/>
        </w:trPr>
        <w:tc>
          <w:tcPr>
            <w:tcW w:w="9392" w:type="dxa"/>
            <w:gridSpan w:val="3"/>
            <w:tcBorders>
              <w:left w:val="single" w:sz="4" w:space="0" w:color="000000"/>
              <w:bottom w:val="single" w:sz="4" w:space="0" w:color="000000"/>
              <w:right w:val="single" w:sz="4" w:space="0" w:color="000000"/>
            </w:tcBorders>
            <w:shd w:val="clear" w:color="auto" w:fill="auto"/>
          </w:tcPr>
          <w:p w:rsidR="00AD697A" w:rsidRDefault="00AD697A">
            <w:pPr>
              <w:jc w:val="both"/>
            </w:pPr>
          </w:p>
          <w:p w:rsidR="00AD697A" w:rsidRDefault="00AD697A">
            <w:pPr>
              <w:jc w:val="both"/>
            </w:pPr>
            <w:r>
              <w:rPr>
                <w:i/>
              </w:rPr>
              <w:t>champ libre</w:t>
            </w:r>
            <w:r>
              <w:t xml:space="preserve"> </w:t>
            </w:r>
          </w:p>
          <w:p w:rsidR="00AD697A" w:rsidRDefault="00AD697A">
            <w:pPr>
              <w:jc w:val="both"/>
            </w:pPr>
          </w:p>
          <w:p w:rsidR="00AD697A" w:rsidRDefault="00AD697A">
            <w:pPr>
              <w:jc w:val="both"/>
            </w:pPr>
          </w:p>
          <w:p w:rsidR="00AD697A" w:rsidRDefault="00AD697A">
            <w:pPr>
              <w:jc w:val="both"/>
            </w:pPr>
          </w:p>
          <w:p w:rsidR="00AD697A" w:rsidRDefault="00AD697A">
            <w:pPr>
              <w:jc w:val="both"/>
            </w:pPr>
          </w:p>
          <w:p w:rsidR="00AD697A" w:rsidRDefault="00AD697A">
            <w:pPr>
              <w:jc w:val="both"/>
            </w:pPr>
          </w:p>
          <w:p w:rsidR="00AD697A" w:rsidRDefault="00AD697A">
            <w:pPr>
              <w:jc w:val="both"/>
            </w:pPr>
          </w:p>
        </w:tc>
      </w:tr>
    </w:tbl>
    <w:p w:rsidR="00AD697A" w:rsidRDefault="00AD697A"/>
    <w:sectPr w:rsidR="00AD697A">
      <w:footerReference w:type="default" r:id="rId1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71" w:rsidRDefault="00C64271">
      <w:r>
        <w:separator/>
      </w:r>
    </w:p>
  </w:endnote>
  <w:endnote w:type="continuationSeparator" w:id="0">
    <w:p w:rsidR="00C64271" w:rsidRDefault="00C6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71" w:rsidRDefault="00C64271">
    <w:pPr>
      <w:pStyle w:val="Pieddepage"/>
      <w:ind w:right="360"/>
    </w:pPr>
    <w:r>
      <w:rPr>
        <w:noProof/>
        <w:lang w:eastAsia="fr-FR"/>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65405" cy="163830"/>
              <wp:effectExtent l="1905" t="635" r="889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271" w:rsidRDefault="00C64271">
                          <w:pPr>
                            <w:pStyle w:val="Pieddepage"/>
                          </w:pPr>
                          <w:r>
                            <w:rPr>
                              <w:rStyle w:val="Numrodepage"/>
                            </w:rPr>
                            <w:fldChar w:fldCharType="begin"/>
                          </w:r>
                          <w:r>
                            <w:rPr>
                              <w:rStyle w:val="Numrodepage"/>
                            </w:rPr>
                            <w:instrText xml:space="preserve"> PAGE </w:instrText>
                          </w:r>
                          <w:r>
                            <w:rPr>
                              <w:rStyle w:val="Numrodepage"/>
                            </w:rPr>
                            <w:fldChar w:fldCharType="separate"/>
                          </w:r>
                          <w:r w:rsidR="001265EA">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5.15pt;height:12.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rAiQIAABoFAAAOAAAAZHJzL2Uyb0RvYy54bWysVNuO2yAQfa/Uf0C8Z21nnTS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F2W+wIjCTrE8X53HwmWkns4a6/w7rnsUjAZbqHvE&#10;Joc75yEKcJ1cInctBdsIKePE7rY30qIDAY1s4pfOStORtDpd55JrxHPPMaQKSEoHzHRdWgH+QCDs&#10;hUiiIH5UxbzMr+fVbLNcvZmVm3Ixq97kq1leVNfVMi+r8nbzMzAoyroTjHF1JxSfxFmUf1f8Y5sk&#10;WUV5oqHB1WK+iMG9YH8M6xhrHr5QekjaC7deeOhVKfoGr05OpA41f6sYHCC1J0ImO3tJP6JBDqZ/&#10;zEpUSBBFkocftyOgBNlsNXsErVgNxQRBwAMDRqftd4wGaNYGu297YjlG8r0CvYXOngw7GdvJIIrC&#10;0QZ7jJJ549MLsDdW7DpATopW+go02YoomCcWQDlMoAEj+eNjETr8+Tx6PT1p618AAAD//wMAUEsD&#10;BBQABgAIAAAAIQCaFUY43AAAAAkBAAAPAAAAZHJzL2Rvd25yZXYueG1sTI9NT8MwDIbvSPyHyEjc&#10;WLIO9tE1nWAIroiCtGvWeG3VxqmabCv/HvcEN796rNePs93oOnHBITSeNMxnCgRS6W1DlYbvr7eH&#10;NYgQDVnTeUINPxhgl9/eZCa1/kqfeCliJbiEQmo01DH2qZShrNGZMPM9ErOTH5yJHIdK2sFcudx1&#10;MlFqKZ1piC/Upsd9jWVbnJ2GxUeyOoT34nXfH3DTrsNLe6Ja6/u78XkLIuIY/5Zh0md1yNnp6M9k&#10;g+g4q8WS3eNExMTV44qno4bkaQMyz+T/D/JfAAAA//8DAFBLAQItABQABgAIAAAAIQC2gziS/gAA&#10;AOEBAAATAAAAAAAAAAAAAAAAAAAAAABbQ29udGVudF9UeXBlc10ueG1sUEsBAi0AFAAGAAgAAAAh&#10;ADj9If/WAAAAlAEAAAsAAAAAAAAAAAAAAAAALwEAAF9yZWxzLy5yZWxzUEsBAi0AFAAGAAgAAAAh&#10;AJYmSsCJAgAAGgUAAA4AAAAAAAAAAAAAAAAALgIAAGRycy9lMm9Eb2MueG1sUEsBAi0AFAAGAAgA&#10;AAAhAJoVRjjcAAAACQEAAA8AAAAAAAAAAAAAAAAA4wQAAGRycy9kb3ducmV2LnhtbFBLBQYAAAAA&#10;BAAEAPMAAADsBQAAAAA=&#10;" stroked="f">
              <v:fill opacity="0"/>
              <v:textbox inset="0,0,0,0">
                <w:txbxContent>
                  <w:p w:rsidR="00C64271" w:rsidRDefault="00C64271">
                    <w:pPr>
                      <w:pStyle w:val="Pieddepage"/>
                    </w:pPr>
                    <w:r>
                      <w:rPr>
                        <w:rStyle w:val="Numrodepage"/>
                      </w:rPr>
                      <w:fldChar w:fldCharType="begin"/>
                    </w:r>
                    <w:r>
                      <w:rPr>
                        <w:rStyle w:val="Numrodepage"/>
                      </w:rPr>
                      <w:instrText xml:space="preserve"> PAGE </w:instrText>
                    </w:r>
                    <w:r>
                      <w:rPr>
                        <w:rStyle w:val="Numrodepage"/>
                      </w:rPr>
                      <w:fldChar w:fldCharType="separate"/>
                    </w:r>
                    <w:r w:rsidR="001265EA">
                      <w:rPr>
                        <w:rStyle w:val="Numrodepage"/>
                        <w:noProof/>
                      </w:rPr>
                      <w:t>1</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71" w:rsidRDefault="00C64271">
      <w:r>
        <w:separator/>
      </w:r>
    </w:p>
  </w:footnote>
  <w:footnote w:type="continuationSeparator" w:id="0">
    <w:p w:rsidR="00C64271" w:rsidRDefault="00C64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715D"/>
    <w:multiLevelType w:val="hybridMultilevel"/>
    <w:tmpl w:val="9D4C08F8"/>
    <w:lvl w:ilvl="0" w:tplc="9170147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F84B8F"/>
    <w:multiLevelType w:val="hybridMultilevel"/>
    <w:tmpl w:val="DCB6D192"/>
    <w:lvl w:ilvl="0" w:tplc="9170147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68"/>
    <w:rsid w:val="00004CF8"/>
    <w:rsid w:val="000C3668"/>
    <w:rsid w:val="001265EA"/>
    <w:rsid w:val="00227603"/>
    <w:rsid w:val="002B4DF8"/>
    <w:rsid w:val="002F5924"/>
    <w:rsid w:val="00631123"/>
    <w:rsid w:val="00695C6D"/>
    <w:rsid w:val="006C6B46"/>
    <w:rsid w:val="007372BA"/>
    <w:rsid w:val="00741570"/>
    <w:rsid w:val="008A226C"/>
    <w:rsid w:val="00AD697A"/>
    <w:rsid w:val="00C23CBA"/>
    <w:rsid w:val="00C64271"/>
    <w:rsid w:val="00C651B4"/>
    <w:rsid w:val="00CF2CF0"/>
    <w:rsid w:val="00D51F5B"/>
    <w:rsid w:val="00DB7C24"/>
    <w:rsid w:val="00DD7934"/>
    <w:rsid w:val="00EB0A3C"/>
    <w:rsid w:val="00ED42B8"/>
    <w:rsid w:val="00EF0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4">
    <w:name w:val="Police par défaut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Policepardfaut3">
    <w:name w:val="Police par défaut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Policepardfaut2">
    <w:name w:val="Police par défaut2"/>
  </w:style>
  <w:style w:type="character" w:customStyle="1" w:styleId="WW-Absatz-Standardschriftart111111111111">
    <w:name w:val="WW-Absatz-Standardschriftart111111111111"/>
  </w:style>
  <w:style w:type="character" w:customStyle="1" w:styleId="Policepardfaut1">
    <w:name w:val="Police par défaut1"/>
  </w:style>
  <w:style w:type="character" w:styleId="Numrodepage">
    <w:name w:val="page number"/>
    <w:basedOn w:val="Policepardfaut1"/>
  </w:style>
  <w:style w:type="paragraph" w:customStyle="1" w:styleId="Titre4">
    <w:name w:val="Titre4"/>
    <w:basedOn w:val="Normal"/>
    <w:next w:val="Corpsdetexte"/>
    <w:pPr>
      <w:keepNext/>
      <w:spacing w:before="240" w:after="120"/>
    </w:pPr>
    <w:rPr>
      <w:rFonts w:ascii="Liberation Sans" w:eastAsia="SimSun" w:hAnsi="Liberation Sans" w:cs="Mang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3">
    <w:name w:val="Titre3"/>
    <w:basedOn w:val="Normal"/>
    <w:next w:val="Corpsdetexte"/>
    <w:pPr>
      <w:keepNext/>
      <w:spacing w:before="240" w:after="120"/>
    </w:pPr>
    <w:rPr>
      <w:rFonts w:ascii="Liberation Sans" w:eastAsia="SimSun" w:hAnsi="Liberation Sans" w:cs="Mangal"/>
      <w:sz w:val="28"/>
      <w:szCs w:val="28"/>
    </w:rPr>
  </w:style>
  <w:style w:type="paragraph" w:customStyle="1" w:styleId="Titre2">
    <w:name w:val="Titre2"/>
    <w:basedOn w:val="Normal"/>
    <w:next w:val="Corpsdetexte"/>
    <w:pPr>
      <w:keepNext/>
      <w:spacing w:before="240" w:after="120"/>
    </w:pPr>
    <w:rPr>
      <w:rFonts w:ascii="Liberation Sans" w:eastAsia="SimSun" w:hAnsi="Liberation Sans" w:cs="Mangal"/>
      <w:sz w:val="28"/>
      <w:szCs w:val="28"/>
    </w:rPr>
  </w:style>
  <w:style w:type="paragraph" w:customStyle="1" w:styleId="Titre1">
    <w:name w:val="Titre1"/>
    <w:basedOn w:val="Normal"/>
    <w:next w:val="Corpsdetexte"/>
    <w:pPr>
      <w:keepNext/>
      <w:spacing w:before="240" w:after="120"/>
    </w:pPr>
    <w:rPr>
      <w:rFonts w:ascii="Liberation Sans" w:eastAsia="SimSun" w:hAnsi="Liberation Sans" w:cs="Mangal"/>
      <w:sz w:val="28"/>
      <w:szCs w:val="28"/>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extedebulles">
    <w:name w:val="Balloon Text"/>
    <w:basedOn w:val="Normal"/>
    <w:rPr>
      <w:rFonts w:ascii="Tahoma" w:hAnsi="Tahoma" w:cs="Tahoma"/>
      <w:sz w:val="16"/>
      <w:szCs w:val="16"/>
    </w:rPr>
  </w:style>
  <w:style w:type="paragraph" w:styleId="Paragraphedeliste">
    <w:name w:val="List Paragraph"/>
    <w:basedOn w:val="Normal"/>
    <w:uiPriority w:val="34"/>
    <w:qFormat/>
    <w:rsid w:val="00004C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4">
    <w:name w:val="Police par défaut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Policepardfaut3">
    <w:name w:val="Police par défaut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Policepardfaut2">
    <w:name w:val="Police par défaut2"/>
  </w:style>
  <w:style w:type="character" w:customStyle="1" w:styleId="WW-Absatz-Standardschriftart111111111111">
    <w:name w:val="WW-Absatz-Standardschriftart111111111111"/>
  </w:style>
  <w:style w:type="character" w:customStyle="1" w:styleId="Policepardfaut1">
    <w:name w:val="Police par défaut1"/>
  </w:style>
  <w:style w:type="character" w:styleId="Numrodepage">
    <w:name w:val="page number"/>
    <w:basedOn w:val="Policepardfaut1"/>
  </w:style>
  <w:style w:type="paragraph" w:customStyle="1" w:styleId="Titre4">
    <w:name w:val="Titre4"/>
    <w:basedOn w:val="Normal"/>
    <w:next w:val="Corpsdetexte"/>
    <w:pPr>
      <w:keepNext/>
      <w:spacing w:before="240" w:after="120"/>
    </w:pPr>
    <w:rPr>
      <w:rFonts w:ascii="Liberation Sans" w:eastAsia="SimSun" w:hAnsi="Liberation Sans" w:cs="Mang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3">
    <w:name w:val="Titre3"/>
    <w:basedOn w:val="Normal"/>
    <w:next w:val="Corpsdetexte"/>
    <w:pPr>
      <w:keepNext/>
      <w:spacing w:before="240" w:after="120"/>
    </w:pPr>
    <w:rPr>
      <w:rFonts w:ascii="Liberation Sans" w:eastAsia="SimSun" w:hAnsi="Liberation Sans" w:cs="Mangal"/>
      <w:sz w:val="28"/>
      <w:szCs w:val="28"/>
    </w:rPr>
  </w:style>
  <w:style w:type="paragraph" w:customStyle="1" w:styleId="Titre2">
    <w:name w:val="Titre2"/>
    <w:basedOn w:val="Normal"/>
    <w:next w:val="Corpsdetexte"/>
    <w:pPr>
      <w:keepNext/>
      <w:spacing w:before="240" w:after="120"/>
    </w:pPr>
    <w:rPr>
      <w:rFonts w:ascii="Liberation Sans" w:eastAsia="SimSun" w:hAnsi="Liberation Sans" w:cs="Mangal"/>
      <w:sz w:val="28"/>
      <w:szCs w:val="28"/>
    </w:rPr>
  </w:style>
  <w:style w:type="paragraph" w:customStyle="1" w:styleId="Titre1">
    <w:name w:val="Titre1"/>
    <w:basedOn w:val="Normal"/>
    <w:next w:val="Corpsdetexte"/>
    <w:pPr>
      <w:keepNext/>
      <w:spacing w:before="240" w:after="120"/>
    </w:pPr>
    <w:rPr>
      <w:rFonts w:ascii="Liberation Sans" w:eastAsia="SimSun" w:hAnsi="Liberation Sans" w:cs="Mangal"/>
      <w:sz w:val="28"/>
      <w:szCs w:val="28"/>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extedebulles">
    <w:name w:val="Balloon Text"/>
    <w:basedOn w:val="Normal"/>
    <w:rPr>
      <w:rFonts w:ascii="Tahoma" w:hAnsi="Tahoma" w:cs="Tahoma"/>
      <w:sz w:val="16"/>
      <w:szCs w:val="16"/>
    </w:rPr>
  </w:style>
  <w:style w:type="paragraph" w:styleId="Paragraphedeliste">
    <w:name w:val="List Paragraph"/>
    <w:basedOn w:val="Normal"/>
    <w:uiPriority w:val="34"/>
    <w:qFormat/>
    <w:rsid w:val="00004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5088</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Appel à projets Mise en place de 10 000 logements HLM accompagnés</vt:lpstr>
    </vt:vector>
  </TitlesOfParts>
  <Company>Mairie de Caen</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Mise en place de 10 000 logements HLM accompagnés</dc:title>
  <dc:creator>cecile.cardot</dc:creator>
  <cp:lastModifiedBy>MOREL Sylvie</cp:lastModifiedBy>
  <cp:revision>2</cp:revision>
  <cp:lastPrinted>2014-02-25T09:50:00Z</cp:lastPrinted>
  <dcterms:created xsi:type="dcterms:W3CDTF">2014-10-14T13:20:00Z</dcterms:created>
  <dcterms:modified xsi:type="dcterms:W3CDTF">2014-10-14T13:20:00Z</dcterms:modified>
</cp:coreProperties>
</file>